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9FC7" w14:textId="7EC3486D" w:rsidR="00252494" w:rsidRDefault="0003186A" w:rsidP="0003186A">
      <w:pPr>
        <w:pStyle w:val="Title"/>
      </w:pPr>
      <w:r>
        <w:t>TURKEY HILL GRANGE #1370</w:t>
      </w:r>
    </w:p>
    <w:p w14:paraId="3C73E1A2" w14:textId="0FB225A7" w:rsidR="0003186A" w:rsidRDefault="0003186A" w:rsidP="0003186A">
      <w:pPr>
        <w:pStyle w:val="Title"/>
      </w:pPr>
      <w:r>
        <w:t>FINANCIAL MANAGEMENT POLICY</w:t>
      </w:r>
      <w:r w:rsidR="00D4665B">
        <w:rPr>
          <w:rStyle w:val="FootnoteReference"/>
        </w:rPr>
        <w:footnoteReference w:id="1"/>
      </w:r>
    </w:p>
    <w:p w14:paraId="4CAE3955" w14:textId="77777777" w:rsidR="00F65BA3" w:rsidRPr="00F65BA3" w:rsidRDefault="00F65BA3" w:rsidP="00F65BA3"/>
    <w:p w14:paraId="3BCC571A" w14:textId="77777777" w:rsidR="00F65BA3" w:rsidRPr="00F65BA3" w:rsidRDefault="00F65BA3" w:rsidP="00F65BA3">
      <w:pPr>
        <w:rPr>
          <w:b/>
          <w:bCs/>
          <w:sz w:val="32"/>
          <w:szCs w:val="28"/>
        </w:rPr>
      </w:pPr>
      <w:r w:rsidRPr="00F65BA3">
        <w:rPr>
          <w:b/>
          <w:bCs/>
          <w:sz w:val="32"/>
          <w:szCs w:val="28"/>
        </w:rPr>
        <w:t>REFERENCES</w:t>
      </w:r>
    </w:p>
    <w:p w14:paraId="29365185" w14:textId="77777777" w:rsidR="00F65BA3" w:rsidRDefault="00F65BA3" w:rsidP="00F65BA3">
      <w:pPr>
        <w:pStyle w:val="NoSpacing"/>
        <w:numPr>
          <w:ilvl w:val="0"/>
          <w:numId w:val="8"/>
        </w:numPr>
      </w:pPr>
      <w:r>
        <w:t xml:space="preserve"> National Grange of the Order of the Patrons of Husbandry, Digest of Laws, 2023 Edition</w:t>
      </w:r>
    </w:p>
    <w:p w14:paraId="23E22353" w14:textId="77777777" w:rsidR="00F65BA3" w:rsidRDefault="00F65BA3" w:rsidP="00F65BA3">
      <w:pPr>
        <w:pStyle w:val="NoSpacing"/>
        <w:numPr>
          <w:ilvl w:val="0"/>
          <w:numId w:val="8"/>
        </w:numPr>
      </w:pPr>
      <w:r>
        <w:t>Subordinate/Community Grange Manual of the Patrons of Husbandry, 2023</w:t>
      </w:r>
    </w:p>
    <w:p w14:paraId="73A7E8CA" w14:textId="77777777" w:rsidR="00C163EE" w:rsidRDefault="00F65BA3" w:rsidP="0003186A">
      <w:pPr>
        <w:pStyle w:val="NoSpacing"/>
        <w:numPr>
          <w:ilvl w:val="0"/>
          <w:numId w:val="8"/>
        </w:numPr>
      </w:pPr>
      <w:r>
        <w:t>Turkey Hill Grange Bylaws, 202</w:t>
      </w:r>
      <w:r w:rsidR="001E6992">
        <w:t>2</w:t>
      </w:r>
    </w:p>
    <w:p w14:paraId="5ED0EA06" w14:textId="77777777" w:rsidR="00AC3EE1" w:rsidRDefault="00AC3EE1" w:rsidP="00AC3EE1"/>
    <w:p w14:paraId="712AEB45" w14:textId="74723335" w:rsidR="0003186A" w:rsidRDefault="0003186A" w:rsidP="00C163EE">
      <w:pPr>
        <w:pStyle w:val="Heading1"/>
      </w:pPr>
      <w:r>
        <w:t>I</w:t>
      </w:r>
      <w:r w:rsidR="00A976AD">
        <w:t>ntroduction</w:t>
      </w:r>
    </w:p>
    <w:p w14:paraId="11642D53" w14:textId="7EFA2B0D" w:rsidR="0003186A" w:rsidRDefault="00A976AD" w:rsidP="00C163EE">
      <w:pPr>
        <w:pStyle w:val="Heading2"/>
        <w:rPr>
          <w:sz w:val="24"/>
          <w:szCs w:val="24"/>
        </w:rPr>
      </w:pPr>
      <w:r>
        <w:t>Purpose</w:t>
      </w:r>
      <w:r w:rsidR="0003186A" w:rsidRPr="00C163EE">
        <w:t xml:space="preserve">:  </w:t>
      </w:r>
      <w:r w:rsidR="0003186A" w:rsidRPr="00ED4EC1">
        <w:rPr>
          <w:sz w:val="24"/>
          <w:szCs w:val="24"/>
        </w:rPr>
        <w:t>Provide policy and procedures for managing Turkey Hill Grange (THG) #1370</w:t>
      </w:r>
      <w:r w:rsidR="00E6227B">
        <w:rPr>
          <w:sz w:val="24"/>
          <w:szCs w:val="24"/>
        </w:rPr>
        <w:t xml:space="preserve"> finances</w:t>
      </w:r>
      <w:r w:rsidR="0003186A" w:rsidRPr="00ED4EC1">
        <w:rPr>
          <w:sz w:val="24"/>
          <w:szCs w:val="24"/>
        </w:rPr>
        <w:t>.</w:t>
      </w:r>
    </w:p>
    <w:p w14:paraId="3A1FE24E" w14:textId="3426DB0D" w:rsidR="00ED2A1F" w:rsidRPr="00ED2A1F" w:rsidRDefault="00A72EA0" w:rsidP="00ED2A1F">
      <w:pPr>
        <w:pStyle w:val="Heading2"/>
        <w:rPr>
          <w:sz w:val="24"/>
          <w:szCs w:val="24"/>
        </w:rPr>
      </w:pPr>
      <w:r>
        <w:t>Authority:</w:t>
      </w:r>
      <w:r w:rsidRPr="00A72EA0">
        <w:t xml:space="preserve"> </w:t>
      </w:r>
      <w:r>
        <w:t xml:space="preserve"> </w:t>
      </w:r>
      <w:r w:rsidRPr="00A72EA0">
        <w:rPr>
          <w:sz w:val="24"/>
          <w:szCs w:val="24"/>
        </w:rPr>
        <w:t xml:space="preserve">This policy is published according to </w:t>
      </w:r>
      <w:r w:rsidR="00FF6531">
        <w:rPr>
          <w:sz w:val="24"/>
          <w:szCs w:val="24"/>
        </w:rPr>
        <w:t xml:space="preserve">THG Bylaws, </w:t>
      </w:r>
      <w:r w:rsidRPr="00A72EA0">
        <w:rPr>
          <w:sz w:val="24"/>
          <w:szCs w:val="24"/>
        </w:rPr>
        <w:t xml:space="preserve">Reference </w:t>
      </w:r>
      <w:r w:rsidR="00FC18CC">
        <w:rPr>
          <w:sz w:val="24"/>
          <w:szCs w:val="24"/>
        </w:rPr>
        <w:t>C</w:t>
      </w:r>
      <w:r w:rsidRPr="00A72EA0">
        <w:rPr>
          <w:sz w:val="24"/>
          <w:szCs w:val="24"/>
        </w:rPr>
        <w:t xml:space="preserve">, Article III, Section 2.  It is authoritative on the policy, process, and procedure for managing THG </w:t>
      </w:r>
      <w:r w:rsidR="00E6227B">
        <w:rPr>
          <w:sz w:val="24"/>
          <w:szCs w:val="24"/>
        </w:rPr>
        <w:t>finances</w:t>
      </w:r>
      <w:r w:rsidRPr="00A72EA0">
        <w:rPr>
          <w:sz w:val="24"/>
          <w:szCs w:val="24"/>
        </w:rPr>
        <w:t>.</w:t>
      </w:r>
    </w:p>
    <w:p w14:paraId="7487F686" w14:textId="3BAC5454" w:rsidR="00F65BA3" w:rsidRDefault="00A976AD" w:rsidP="00C163EE">
      <w:pPr>
        <w:pStyle w:val="Heading2"/>
        <w:rPr>
          <w:sz w:val="24"/>
          <w:szCs w:val="24"/>
        </w:rPr>
      </w:pPr>
      <w:r w:rsidRPr="00C163EE">
        <w:t>R</w:t>
      </w:r>
      <w:r>
        <w:t>esponsibilities</w:t>
      </w:r>
      <w:r w:rsidR="00F65BA3" w:rsidRPr="00C163EE">
        <w:t xml:space="preserve">:  </w:t>
      </w:r>
      <w:r w:rsidR="00ED2A1F">
        <w:rPr>
          <w:sz w:val="24"/>
          <w:szCs w:val="24"/>
        </w:rPr>
        <w:t>F</w:t>
      </w:r>
      <w:r w:rsidR="00ED2A1F" w:rsidRPr="00ED4EC1">
        <w:rPr>
          <w:sz w:val="24"/>
          <w:szCs w:val="24"/>
        </w:rPr>
        <w:t>inancial management responsibilities of the President, Treasurer, and Executive Committee are detailed in References A, B, and C, and further explained in this policy.</w:t>
      </w:r>
      <w:r w:rsidR="00ED2A1F">
        <w:rPr>
          <w:sz w:val="24"/>
          <w:szCs w:val="24"/>
        </w:rPr>
        <w:t xml:space="preserve">  </w:t>
      </w:r>
      <w:r w:rsidR="00F65BA3" w:rsidRPr="00ED4EC1">
        <w:rPr>
          <w:sz w:val="24"/>
          <w:szCs w:val="24"/>
        </w:rPr>
        <w:t xml:space="preserve">The THG Treasurer is responsible for this policy with the </w:t>
      </w:r>
      <w:r w:rsidR="00ED2A1F">
        <w:rPr>
          <w:sz w:val="24"/>
          <w:szCs w:val="24"/>
        </w:rPr>
        <w:t xml:space="preserve">approval </w:t>
      </w:r>
      <w:r w:rsidR="00F65BA3" w:rsidRPr="00ED4EC1">
        <w:rPr>
          <w:sz w:val="24"/>
          <w:szCs w:val="24"/>
        </w:rPr>
        <w:t xml:space="preserve">of the Executive Board.  </w:t>
      </w:r>
    </w:p>
    <w:p w14:paraId="5C802346" w14:textId="77777777" w:rsidR="00FE2DE1" w:rsidRDefault="00FE2DE1" w:rsidP="00FE2DE1">
      <w:pPr>
        <w:pStyle w:val="Heading1"/>
      </w:pPr>
      <w:r>
        <w:t>Fiscal Year</w:t>
      </w:r>
    </w:p>
    <w:p w14:paraId="3AD6256C" w14:textId="77777777" w:rsidR="00FE2DE1" w:rsidRPr="00A976AD" w:rsidRDefault="00FE2DE1" w:rsidP="00FE2DE1">
      <w:r>
        <w:t>Turkey Hill Grange fiscal year is 1 January through 31 December.</w:t>
      </w:r>
    </w:p>
    <w:p w14:paraId="3DCF9E6B" w14:textId="77777777" w:rsidR="00365522" w:rsidRDefault="00365522" w:rsidP="00365522">
      <w:pPr>
        <w:pStyle w:val="Heading1"/>
      </w:pPr>
      <w:bookmarkStart w:id="0" w:name="_Ref151372477"/>
      <w:r>
        <w:t>Funds</w:t>
      </w:r>
      <w:bookmarkEnd w:id="0"/>
    </w:p>
    <w:p w14:paraId="60FD396C" w14:textId="77777777" w:rsidR="00365522" w:rsidRDefault="00365522" w:rsidP="00365522">
      <w:pPr>
        <w:pStyle w:val="Heading2"/>
      </w:pPr>
      <w:r>
        <w:t>General Fund</w:t>
      </w:r>
    </w:p>
    <w:p w14:paraId="161F6459" w14:textId="77777777" w:rsidR="00E6227B" w:rsidRDefault="00A72EA0" w:rsidP="00E6227B">
      <w:r>
        <w:t xml:space="preserve">The </w:t>
      </w:r>
      <w:r w:rsidR="00365522">
        <w:t xml:space="preserve">General Fund </w:t>
      </w:r>
      <w:r>
        <w:t xml:space="preserve">is used </w:t>
      </w:r>
      <w:r w:rsidR="00365522">
        <w:t>for ongoing business</w:t>
      </w:r>
      <w:r w:rsidR="00ED2A1F">
        <w:t>,</w:t>
      </w:r>
      <w:r w:rsidR="00365522">
        <w:t xml:space="preserve"> operations</w:t>
      </w:r>
      <w:r w:rsidR="00ED2A1F">
        <w:t>,</w:t>
      </w:r>
      <w:r w:rsidR="00365522">
        <w:t xml:space="preserve"> and programs.  The General Fund normally is held in a checking account.  Income from fundraising, donations, product sales, returns on investment, dues, and other </w:t>
      </w:r>
      <w:r w:rsidR="00ED2A1F">
        <w:t xml:space="preserve">sources </w:t>
      </w:r>
      <w:r w:rsidR="00365522">
        <w:t>is deposited in the General Fund.  The Treasurer pays for goods</w:t>
      </w:r>
      <w:r w:rsidR="00FF6531">
        <w:t>,</w:t>
      </w:r>
      <w:r w:rsidR="00365522">
        <w:t xml:space="preserve"> services</w:t>
      </w:r>
      <w:r w:rsidR="00FF6531">
        <w:t>, and donations</w:t>
      </w:r>
      <w:r w:rsidR="00365522">
        <w:t xml:space="preserve"> from the General Fund.</w:t>
      </w:r>
      <w:r w:rsidR="00470932">
        <w:t xml:space="preserve">  A General Fund savings account may be est</w:t>
      </w:r>
      <w:r w:rsidR="00E6227B">
        <w:t>ablished.</w:t>
      </w:r>
    </w:p>
    <w:p w14:paraId="6BA50376" w14:textId="4D596FF1" w:rsidR="00E6227B" w:rsidRDefault="00E6227B" w:rsidP="00E6227B">
      <w:pPr>
        <w:pStyle w:val="Heading2"/>
      </w:pPr>
      <w:r>
        <w:t>Building Contingency Fund</w:t>
      </w:r>
    </w:p>
    <w:p w14:paraId="44AB739B" w14:textId="4624C096" w:rsidR="00E6227B" w:rsidRDefault="00E6227B" w:rsidP="00ED4EC1">
      <w:r>
        <w:t>The Building Contingency Fund is for unforeseen or emergency maintenance of the building.  It normally is held in a savings account.  To the extent practicable, a portion of the net outcome of fundraising and donations will be budgeted for deposit to the Building Contingency Fund.</w:t>
      </w:r>
    </w:p>
    <w:p w14:paraId="27629CC6" w14:textId="0D251C7E" w:rsidR="00F46B25" w:rsidRDefault="00F46B25">
      <w:pPr>
        <w:spacing w:after="160" w:line="259" w:lineRule="auto"/>
      </w:pPr>
      <w:r>
        <w:br w:type="page"/>
      </w:r>
    </w:p>
    <w:p w14:paraId="690EA013" w14:textId="77777777" w:rsidR="00365522" w:rsidRDefault="00365522" w:rsidP="00365522">
      <w:pPr>
        <w:pStyle w:val="Heading2"/>
      </w:pPr>
      <w:bookmarkStart w:id="1" w:name="_Ref151108599"/>
      <w:r>
        <w:lastRenderedPageBreak/>
        <w:t>Designated Funds</w:t>
      </w:r>
      <w:bookmarkEnd w:id="1"/>
    </w:p>
    <w:p w14:paraId="6A6DA80B" w14:textId="2347496C" w:rsidR="00ED2A1F" w:rsidRDefault="00365522" w:rsidP="00365522">
      <w:r>
        <w:t xml:space="preserve">The </w:t>
      </w:r>
      <w:r w:rsidR="00AE25FC">
        <w:t>Treasurer,</w:t>
      </w:r>
      <w:r w:rsidR="00E6227B">
        <w:t xml:space="preserve"> </w:t>
      </w:r>
      <w:r>
        <w:t xml:space="preserve">with </w:t>
      </w:r>
      <w:r w:rsidR="007F16E0">
        <w:t xml:space="preserve">the </w:t>
      </w:r>
      <w:r w:rsidR="00ED2A1F">
        <w:t xml:space="preserve">approval </w:t>
      </w:r>
      <w:r>
        <w:t xml:space="preserve">of the Executive </w:t>
      </w:r>
      <w:proofErr w:type="gramStart"/>
      <w:r>
        <w:t>Board</w:t>
      </w:r>
      <w:proofErr w:type="gramEnd"/>
      <w:r>
        <w:t xml:space="preserve"> may set up accounts for designated purposes outside of the General Fund.  </w:t>
      </w:r>
      <w:r w:rsidR="00ED4EC1">
        <w:t>The Treasurer keep</w:t>
      </w:r>
      <w:r w:rsidR="00470932">
        <w:t>s</w:t>
      </w:r>
      <w:r w:rsidR="00ED4EC1">
        <w:t xml:space="preserve"> a list of Designated Funds showin</w:t>
      </w:r>
      <w:r w:rsidR="00ED2A1F">
        <w:t>g:</w:t>
      </w:r>
    </w:p>
    <w:p w14:paraId="13FD86C5" w14:textId="2C690447" w:rsidR="00ED2A1F" w:rsidRDefault="00ED2A1F" w:rsidP="00ED2A1F">
      <w:pPr>
        <w:pStyle w:val="ListParagraph"/>
        <w:numPr>
          <w:ilvl w:val="0"/>
          <w:numId w:val="24"/>
        </w:numPr>
      </w:pPr>
      <w:r>
        <w:t>N</w:t>
      </w:r>
      <w:r w:rsidR="00ED4EC1">
        <w:t>ame of the fund</w:t>
      </w:r>
    </w:p>
    <w:p w14:paraId="322EDB55" w14:textId="4F6A7F21" w:rsidR="00ED2A1F" w:rsidRDefault="00ED2A1F" w:rsidP="00ED2A1F">
      <w:pPr>
        <w:pStyle w:val="ListParagraph"/>
        <w:numPr>
          <w:ilvl w:val="0"/>
          <w:numId w:val="24"/>
        </w:numPr>
      </w:pPr>
      <w:r>
        <w:t>P</w:t>
      </w:r>
      <w:r w:rsidR="00ED4EC1">
        <w:t>urpose of the fund</w:t>
      </w:r>
    </w:p>
    <w:p w14:paraId="5D1FB3BA" w14:textId="5A81F46C" w:rsidR="00B95107" w:rsidRDefault="00B95107" w:rsidP="00ED2A1F">
      <w:pPr>
        <w:pStyle w:val="ListParagraph"/>
        <w:numPr>
          <w:ilvl w:val="0"/>
          <w:numId w:val="24"/>
        </w:numPr>
      </w:pPr>
      <w:r>
        <w:t>Account information</w:t>
      </w:r>
    </w:p>
    <w:p w14:paraId="2228616A" w14:textId="7CECB31B" w:rsidR="00ED2A1F" w:rsidRDefault="00ED2A1F" w:rsidP="00ED2A1F">
      <w:pPr>
        <w:pStyle w:val="ListParagraph"/>
        <w:numPr>
          <w:ilvl w:val="0"/>
          <w:numId w:val="24"/>
        </w:numPr>
      </w:pPr>
      <w:r>
        <w:t>D</w:t>
      </w:r>
      <w:r w:rsidR="00ED4EC1">
        <w:t xml:space="preserve">ate of </w:t>
      </w:r>
      <w:r w:rsidR="00DF2039">
        <w:t>in</w:t>
      </w:r>
      <w:r w:rsidR="00ED4EC1">
        <w:t>ception</w:t>
      </w:r>
    </w:p>
    <w:p w14:paraId="770A2B55" w14:textId="76E3E081" w:rsidR="00ED2A1F" w:rsidRDefault="00ED2A1F" w:rsidP="00ED2A1F">
      <w:pPr>
        <w:pStyle w:val="ListParagraph"/>
        <w:numPr>
          <w:ilvl w:val="0"/>
          <w:numId w:val="24"/>
        </w:numPr>
      </w:pPr>
      <w:r>
        <w:t>Name and contact information for the THG Member r</w:t>
      </w:r>
      <w:r w:rsidR="00ED4EC1">
        <w:t>esponsible for</w:t>
      </w:r>
      <w:r>
        <w:t xml:space="preserve"> the fund</w:t>
      </w:r>
    </w:p>
    <w:p w14:paraId="711FEDDD" w14:textId="53A72897" w:rsidR="00365522" w:rsidRDefault="00365522" w:rsidP="00365522">
      <w:r>
        <w:t xml:space="preserve">Income </w:t>
      </w:r>
      <w:r w:rsidR="00E6227B">
        <w:t>to</w:t>
      </w:r>
      <w:r>
        <w:t xml:space="preserve"> </w:t>
      </w:r>
      <w:r w:rsidR="00ED2A1F">
        <w:t xml:space="preserve">a </w:t>
      </w:r>
      <w:r>
        <w:t xml:space="preserve">designated fund </w:t>
      </w:r>
      <w:r w:rsidR="00470932">
        <w:t xml:space="preserve">is </w:t>
      </w:r>
      <w:r>
        <w:t xml:space="preserve">deposited in </w:t>
      </w:r>
      <w:r w:rsidR="00ED2A1F">
        <w:t xml:space="preserve">its </w:t>
      </w:r>
      <w:r>
        <w:t xml:space="preserve">account.  </w:t>
      </w:r>
      <w:r w:rsidR="00ED4EC1">
        <w:t xml:space="preserve">With approval of the responsible </w:t>
      </w:r>
      <w:r w:rsidR="00C708F5">
        <w:t>m</w:t>
      </w:r>
      <w:r w:rsidR="00ED2A1F">
        <w:t>ember</w:t>
      </w:r>
      <w:r w:rsidR="00ED4EC1">
        <w:t>, t</w:t>
      </w:r>
      <w:r>
        <w:t xml:space="preserve">he Treasurer may transfer funds from a designated </w:t>
      </w:r>
      <w:r w:rsidR="00ED4EC1">
        <w:t>fund</w:t>
      </w:r>
      <w:r>
        <w:t xml:space="preserve"> to the General Fund checking account to pay for goods</w:t>
      </w:r>
      <w:r w:rsidR="00FF6531">
        <w:t>,</w:t>
      </w:r>
      <w:r>
        <w:t xml:space="preserve"> services</w:t>
      </w:r>
      <w:r w:rsidR="00FF6531">
        <w:t>, and donations</w:t>
      </w:r>
      <w:r>
        <w:t xml:space="preserve"> within the scope of the designated fund. </w:t>
      </w:r>
      <w:r w:rsidR="00A976AD">
        <w:t xml:space="preserve"> </w:t>
      </w:r>
      <w:r>
        <w:t xml:space="preserve">Normally, a designed fund account is closed when the purposes of the designated fund have been fulfilled.  </w:t>
      </w:r>
      <w:r w:rsidR="00FF6531">
        <w:t xml:space="preserve">The Treasurer, with the approval of the Executive Board may close a designated fund. </w:t>
      </w:r>
      <w:r w:rsidR="00DF2039">
        <w:t>The remaining</w:t>
      </w:r>
      <w:r>
        <w:t xml:space="preserve"> funds, if any, will be transferred to the General Fund.</w:t>
      </w:r>
    </w:p>
    <w:p w14:paraId="7D304F8F" w14:textId="101C02F6" w:rsidR="00F65BA3" w:rsidRDefault="00F65BA3" w:rsidP="00F65BA3">
      <w:pPr>
        <w:pStyle w:val="Heading1"/>
      </w:pPr>
      <w:r>
        <w:t>Accounts</w:t>
      </w:r>
    </w:p>
    <w:p w14:paraId="0113D57C" w14:textId="698F909C" w:rsidR="00DD1B4F" w:rsidRPr="00DD1B4F" w:rsidRDefault="00F65BA3" w:rsidP="00C163EE">
      <w:pPr>
        <w:pStyle w:val="Heading2"/>
      </w:pPr>
      <w:r>
        <w:t>Types</w:t>
      </w:r>
      <w:r w:rsidR="00600797">
        <w:t xml:space="preserve">:  </w:t>
      </w:r>
      <w:r w:rsidR="00091A49" w:rsidRPr="00FF6531">
        <w:rPr>
          <w:sz w:val="24"/>
          <w:szCs w:val="24"/>
        </w:rPr>
        <w:t>THG m</w:t>
      </w:r>
      <w:r w:rsidR="00600797" w:rsidRPr="00FF6531">
        <w:rPr>
          <w:sz w:val="24"/>
          <w:szCs w:val="24"/>
        </w:rPr>
        <w:t xml:space="preserve">oney will be kept in checking, savings, or investment accounts.  Checking and </w:t>
      </w:r>
      <w:r w:rsidR="00A976AD" w:rsidRPr="00FF6531">
        <w:rPr>
          <w:sz w:val="24"/>
          <w:szCs w:val="24"/>
        </w:rPr>
        <w:t>s</w:t>
      </w:r>
      <w:r w:rsidR="00600797" w:rsidRPr="00FF6531">
        <w:rPr>
          <w:sz w:val="24"/>
          <w:szCs w:val="24"/>
        </w:rPr>
        <w:t xml:space="preserve">avings accounts </w:t>
      </w:r>
      <w:r w:rsidR="00091A49" w:rsidRPr="00FF6531">
        <w:rPr>
          <w:sz w:val="24"/>
          <w:szCs w:val="24"/>
        </w:rPr>
        <w:t xml:space="preserve">must be </w:t>
      </w:r>
      <w:r w:rsidR="00600797" w:rsidRPr="00FF6531">
        <w:rPr>
          <w:sz w:val="24"/>
          <w:szCs w:val="24"/>
        </w:rPr>
        <w:t xml:space="preserve">insured by the Federal Deposit Insurance Corporation (FDIC) or National Credit Union Association (NCUA).  The </w:t>
      </w:r>
      <w:r w:rsidR="00ED4EC1" w:rsidRPr="00FF6531">
        <w:rPr>
          <w:sz w:val="24"/>
          <w:szCs w:val="24"/>
        </w:rPr>
        <w:t xml:space="preserve">maximum </w:t>
      </w:r>
      <w:r w:rsidR="00600797" w:rsidRPr="00FF6531">
        <w:rPr>
          <w:sz w:val="24"/>
          <w:szCs w:val="24"/>
        </w:rPr>
        <w:t>balance in any account shall not exceed the insurance maximum limit.</w:t>
      </w:r>
      <w:r w:rsidR="00470932" w:rsidRPr="00FF6531">
        <w:rPr>
          <w:sz w:val="24"/>
          <w:szCs w:val="24"/>
        </w:rPr>
        <w:t xml:space="preserve">  </w:t>
      </w:r>
      <w:r w:rsidR="00600797" w:rsidRPr="00FF6531">
        <w:rPr>
          <w:sz w:val="24"/>
          <w:szCs w:val="24"/>
        </w:rPr>
        <w:t>The Treasurer deposit</w:t>
      </w:r>
      <w:r w:rsidR="00470932" w:rsidRPr="00FF6531">
        <w:rPr>
          <w:sz w:val="24"/>
          <w:szCs w:val="24"/>
        </w:rPr>
        <w:t>s</w:t>
      </w:r>
      <w:r w:rsidR="00600797" w:rsidRPr="00FF6531">
        <w:rPr>
          <w:sz w:val="24"/>
          <w:szCs w:val="24"/>
        </w:rPr>
        <w:t xml:space="preserve"> cash or checks into an account in a timely manner but has discretion to hold cash or checks for </w:t>
      </w:r>
      <w:r w:rsidR="00A72EA0" w:rsidRPr="00FF6531">
        <w:rPr>
          <w:sz w:val="24"/>
          <w:szCs w:val="24"/>
        </w:rPr>
        <w:t xml:space="preserve">up to </w:t>
      </w:r>
      <w:r w:rsidR="00600797" w:rsidRPr="00FF6531">
        <w:rPr>
          <w:sz w:val="24"/>
          <w:szCs w:val="24"/>
        </w:rPr>
        <w:t xml:space="preserve">30 days.  </w:t>
      </w:r>
      <w:r w:rsidR="00DD1B4F" w:rsidRPr="00FF6531">
        <w:rPr>
          <w:sz w:val="24"/>
          <w:szCs w:val="24"/>
        </w:rPr>
        <w:t>The Treasurer withdraws funds from THG accounts by permitted means for payment of bills, reimbursements</w:t>
      </w:r>
      <w:r w:rsidR="00470932" w:rsidRPr="00FF6531">
        <w:rPr>
          <w:sz w:val="24"/>
          <w:szCs w:val="24"/>
        </w:rPr>
        <w:t>, or other obligations</w:t>
      </w:r>
      <w:r w:rsidR="00DD1B4F" w:rsidRPr="00FF6531">
        <w:rPr>
          <w:sz w:val="24"/>
          <w:szCs w:val="24"/>
        </w:rPr>
        <w:t>.</w:t>
      </w:r>
    </w:p>
    <w:p w14:paraId="59BD1414" w14:textId="2A6E1725" w:rsidR="00DD1B4F" w:rsidRDefault="00F65BA3" w:rsidP="00F65BA3">
      <w:pPr>
        <w:pStyle w:val="Heading2"/>
      </w:pPr>
      <w:r>
        <w:t>Signat</w:t>
      </w:r>
      <w:r w:rsidR="004355B1">
        <w:t>ures:</w:t>
      </w:r>
      <w:r w:rsidR="00DD1B4F">
        <w:t xml:space="preserve">  </w:t>
      </w:r>
      <w:r w:rsidR="00DD1B4F" w:rsidRPr="00ED4EC1">
        <w:rPr>
          <w:sz w:val="24"/>
          <w:szCs w:val="24"/>
        </w:rPr>
        <w:t xml:space="preserve">The Treasurer </w:t>
      </w:r>
      <w:r w:rsidR="00C163EE" w:rsidRPr="00ED4EC1">
        <w:rPr>
          <w:sz w:val="24"/>
          <w:szCs w:val="24"/>
        </w:rPr>
        <w:t xml:space="preserve">is a </w:t>
      </w:r>
      <w:r w:rsidR="00DD1B4F" w:rsidRPr="00ED4EC1">
        <w:rPr>
          <w:sz w:val="24"/>
          <w:szCs w:val="24"/>
        </w:rPr>
        <w:t>signator</w:t>
      </w:r>
      <w:r w:rsidR="00C163EE" w:rsidRPr="00ED4EC1">
        <w:rPr>
          <w:sz w:val="24"/>
          <w:szCs w:val="24"/>
        </w:rPr>
        <w:t>y</w:t>
      </w:r>
      <w:r w:rsidR="00DD1B4F" w:rsidRPr="00ED4EC1">
        <w:rPr>
          <w:sz w:val="24"/>
          <w:szCs w:val="24"/>
        </w:rPr>
        <w:t xml:space="preserve"> </w:t>
      </w:r>
      <w:r w:rsidR="0090055A" w:rsidRPr="00ED4EC1">
        <w:rPr>
          <w:sz w:val="24"/>
          <w:szCs w:val="24"/>
        </w:rPr>
        <w:t>to</w:t>
      </w:r>
      <w:r w:rsidR="00DD1B4F" w:rsidRPr="00ED4EC1">
        <w:rPr>
          <w:sz w:val="24"/>
          <w:szCs w:val="24"/>
        </w:rPr>
        <w:t xml:space="preserve"> all THG accounts.  </w:t>
      </w:r>
      <w:r w:rsidR="00C163EE" w:rsidRPr="00ED4EC1">
        <w:rPr>
          <w:sz w:val="24"/>
          <w:szCs w:val="24"/>
        </w:rPr>
        <w:t>At least one other THG Officer is a signatory on each THG account.</w:t>
      </w:r>
    </w:p>
    <w:p w14:paraId="680B9A6E" w14:textId="48DA1FA6" w:rsidR="00F65BA3" w:rsidRDefault="00DD1B4F" w:rsidP="00F65BA3">
      <w:pPr>
        <w:pStyle w:val="Heading2"/>
        <w:rPr>
          <w:sz w:val="24"/>
          <w:szCs w:val="24"/>
        </w:rPr>
      </w:pPr>
      <w:r>
        <w:t xml:space="preserve">Electronic Banking:  </w:t>
      </w:r>
      <w:r w:rsidRPr="00ED4EC1">
        <w:rPr>
          <w:sz w:val="24"/>
          <w:szCs w:val="24"/>
        </w:rPr>
        <w:t xml:space="preserve">Accounts may be set up to allow electronic transactions.  The Treasurer and at least one other Officer shall know the user identification and password for each account.  Passwords shall be changed at least once each </w:t>
      </w:r>
      <w:r w:rsidR="00091A49">
        <w:rPr>
          <w:sz w:val="24"/>
          <w:szCs w:val="24"/>
        </w:rPr>
        <w:t xml:space="preserve">fiscal </w:t>
      </w:r>
      <w:r w:rsidRPr="00ED4EC1">
        <w:rPr>
          <w:sz w:val="24"/>
          <w:szCs w:val="24"/>
        </w:rPr>
        <w:t xml:space="preserve">year </w:t>
      </w:r>
      <w:r w:rsidR="00C163EE" w:rsidRPr="00ED4EC1">
        <w:rPr>
          <w:sz w:val="24"/>
          <w:szCs w:val="24"/>
        </w:rPr>
        <w:t>or</w:t>
      </w:r>
      <w:r w:rsidRPr="00ED4EC1">
        <w:rPr>
          <w:sz w:val="24"/>
          <w:szCs w:val="24"/>
        </w:rPr>
        <w:t xml:space="preserve"> when a new Treasurer is installed.</w:t>
      </w:r>
    </w:p>
    <w:p w14:paraId="239DA6D7" w14:textId="6F0C8385" w:rsidR="00B52FC2" w:rsidRPr="00B52FC2" w:rsidRDefault="00B52FC2" w:rsidP="007A71EB">
      <w:pPr>
        <w:pStyle w:val="Heading2"/>
      </w:pPr>
      <w:r w:rsidRPr="007A71EB">
        <w:t xml:space="preserve">Credit Card Account:  </w:t>
      </w:r>
      <w:r w:rsidRPr="007A71EB">
        <w:rPr>
          <w:sz w:val="24"/>
          <w:szCs w:val="24"/>
        </w:rPr>
        <w:t xml:space="preserve">The Treasurer manages </w:t>
      </w:r>
      <w:r w:rsidR="00091A49">
        <w:rPr>
          <w:sz w:val="24"/>
          <w:szCs w:val="24"/>
        </w:rPr>
        <w:t xml:space="preserve">an account allowing THG to accept credit card payments.  Historically </w:t>
      </w:r>
      <w:r w:rsidR="00091A49" w:rsidRPr="007A71EB">
        <w:rPr>
          <w:sz w:val="24"/>
          <w:szCs w:val="24"/>
        </w:rPr>
        <w:t>THG uses Square to accept credit cards.</w:t>
      </w:r>
    </w:p>
    <w:p w14:paraId="23D6CC29" w14:textId="48E2680C" w:rsidR="009257C9" w:rsidRPr="009257C9" w:rsidRDefault="00A6796F" w:rsidP="009257C9">
      <w:pPr>
        <w:pStyle w:val="Heading1"/>
        <w:rPr>
          <w:sz w:val="28"/>
          <w:szCs w:val="26"/>
        </w:rPr>
      </w:pPr>
      <w:r>
        <w:t>Information Technology</w:t>
      </w:r>
    </w:p>
    <w:p w14:paraId="3383702B" w14:textId="6492A0A7" w:rsidR="00A6796F" w:rsidRDefault="00A6796F" w:rsidP="009257C9">
      <w:r w:rsidRPr="00AC3EE1">
        <w:t xml:space="preserve">The Treasurer is highly encouraged to use information technology capabilities to manage THG funds.  </w:t>
      </w:r>
      <w:r w:rsidR="00091A49">
        <w:t xml:space="preserve">Such capabilities allow </w:t>
      </w:r>
      <w:r w:rsidRPr="00AC3EE1">
        <w:t>quick</w:t>
      </w:r>
      <w:r w:rsidR="00091A49">
        <w:t xml:space="preserve"> </w:t>
      </w:r>
      <w:r w:rsidRPr="00AC3EE1">
        <w:t>and accurate</w:t>
      </w:r>
      <w:r w:rsidR="00091A49">
        <w:t xml:space="preserve"> funds management </w:t>
      </w:r>
      <w:r w:rsidRPr="00AC3EE1">
        <w:t>while supporting financial reporting and tax filing.</w:t>
      </w:r>
    </w:p>
    <w:p w14:paraId="18DE87CD" w14:textId="2C0C7035" w:rsidR="002A0448" w:rsidRDefault="002A0448">
      <w:pPr>
        <w:spacing w:after="160" w:line="259" w:lineRule="auto"/>
      </w:pPr>
      <w:r>
        <w:br w:type="page"/>
      </w:r>
    </w:p>
    <w:p w14:paraId="6A40796C" w14:textId="119858EA" w:rsidR="00C163EE" w:rsidRDefault="00C163EE" w:rsidP="001E6992">
      <w:pPr>
        <w:pStyle w:val="Heading1"/>
      </w:pPr>
      <w:r>
        <w:lastRenderedPageBreak/>
        <w:t>Investments</w:t>
      </w:r>
    </w:p>
    <w:p w14:paraId="65B458BE" w14:textId="77777777" w:rsidR="002A0448" w:rsidRDefault="00C163EE" w:rsidP="002A0448">
      <w:r>
        <w:t xml:space="preserve">The </w:t>
      </w:r>
      <w:r w:rsidR="0090055A">
        <w:t>Treasurer,</w:t>
      </w:r>
      <w:r>
        <w:t xml:space="preserve"> with </w:t>
      </w:r>
      <w:r w:rsidR="001C444F">
        <w:t xml:space="preserve">the </w:t>
      </w:r>
      <w:r w:rsidR="00091A49">
        <w:t xml:space="preserve">approval </w:t>
      </w:r>
      <w:r>
        <w:t xml:space="preserve">of the Executive </w:t>
      </w:r>
      <w:r w:rsidR="0090055A">
        <w:t>Board,</w:t>
      </w:r>
      <w:r>
        <w:t xml:space="preserve"> may set up an investment account.  Investment accounts must be set up with a commercial investment firm</w:t>
      </w:r>
      <w:r w:rsidR="001C444F">
        <w:t>.  The Treasurer recommend</w:t>
      </w:r>
      <w:r w:rsidR="00091A49">
        <w:t>s</w:t>
      </w:r>
      <w:r w:rsidR="001C444F">
        <w:t xml:space="preserve"> to the Executive Board only firms with affirmative national rankings by Forbes</w:t>
      </w:r>
      <w:r w:rsidR="00A976AD">
        <w:t xml:space="preserve"> </w:t>
      </w:r>
      <w:r w:rsidR="001C444F">
        <w:t xml:space="preserve">or similar companies.  Funds will be invested with the primary purpose of conserving the principle.  Investments shall support the </w:t>
      </w:r>
      <w:r w:rsidR="007A71EB">
        <w:t>declaration of</w:t>
      </w:r>
      <w:r w:rsidR="001C444F">
        <w:t xml:space="preserve"> purposes of the Grange as stated in Reference</w:t>
      </w:r>
      <w:r w:rsidR="00A8692A">
        <w:t xml:space="preserve"> </w:t>
      </w:r>
      <w:r w:rsidR="001C444F">
        <w:t>A</w:t>
      </w:r>
      <w:r w:rsidR="007A71EB">
        <w:t>, Chapter 2</w:t>
      </w:r>
      <w:r w:rsidR="001C444F">
        <w:t>.</w:t>
      </w:r>
    </w:p>
    <w:p w14:paraId="521D1024" w14:textId="34CE342C" w:rsidR="00F65BA3" w:rsidRDefault="00475B7C" w:rsidP="002A0448">
      <w:pPr>
        <w:pStyle w:val="Heading1"/>
      </w:pPr>
      <w:r>
        <w:t>Donations</w:t>
      </w:r>
    </w:p>
    <w:p w14:paraId="4E63B827" w14:textId="7D37E549" w:rsidR="001C444F" w:rsidRDefault="001C38A1" w:rsidP="001C38A1">
      <w:pPr>
        <w:pStyle w:val="Heading2"/>
        <w:rPr>
          <w:sz w:val="24"/>
          <w:szCs w:val="24"/>
        </w:rPr>
      </w:pPr>
      <w:r>
        <w:t xml:space="preserve">Donation Income:  </w:t>
      </w:r>
      <w:r w:rsidR="001C444F" w:rsidRPr="001C38A1">
        <w:rPr>
          <w:sz w:val="24"/>
          <w:szCs w:val="24"/>
        </w:rPr>
        <w:t>Turkey Hill Grange accept</w:t>
      </w:r>
      <w:r w:rsidR="00B52FC2" w:rsidRPr="001C38A1">
        <w:rPr>
          <w:sz w:val="24"/>
          <w:szCs w:val="24"/>
        </w:rPr>
        <w:t>s</w:t>
      </w:r>
      <w:r w:rsidR="001C444F" w:rsidRPr="001C38A1">
        <w:rPr>
          <w:sz w:val="24"/>
          <w:szCs w:val="24"/>
        </w:rPr>
        <w:t xml:space="preserve"> cash</w:t>
      </w:r>
      <w:r w:rsidR="00475B7C" w:rsidRPr="001C38A1">
        <w:rPr>
          <w:sz w:val="24"/>
          <w:szCs w:val="24"/>
        </w:rPr>
        <w:t>, check, or credit card</w:t>
      </w:r>
      <w:r w:rsidR="00752EB7">
        <w:rPr>
          <w:sz w:val="24"/>
          <w:szCs w:val="24"/>
        </w:rPr>
        <w:t xml:space="preserve"> donations</w:t>
      </w:r>
      <w:r w:rsidR="006105FA">
        <w:rPr>
          <w:sz w:val="24"/>
          <w:szCs w:val="24"/>
        </w:rPr>
        <w:t xml:space="preserve">.  </w:t>
      </w:r>
      <w:r w:rsidR="00475B7C" w:rsidRPr="001C38A1">
        <w:rPr>
          <w:sz w:val="24"/>
          <w:szCs w:val="24"/>
        </w:rPr>
        <w:t>The Treasurer will acknowledge donations by electronic mail (email) or letter</w:t>
      </w:r>
      <w:r w:rsidR="00056196" w:rsidRPr="001C38A1">
        <w:rPr>
          <w:sz w:val="24"/>
          <w:szCs w:val="24"/>
        </w:rPr>
        <w:t>.</w:t>
      </w:r>
    </w:p>
    <w:p w14:paraId="1E5C73EE" w14:textId="36693759" w:rsidR="001C38A1" w:rsidRPr="00F94EA9" w:rsidRDefault="001C38A1" w:rsidP="00F94EA9">
      <w:pPr>
        <w:pStyle w:val="Heading2"/>
        <w:rPr>
          <w:sz w:val="24"/>
          <w:szCs w:val="24"/>
        </w:rPr>
      </w:pPr>
      <w:r>
        <w:t xml:space="preserve">Donation Expense:  </w:t>
      </w:r>
      <w:r w:rsidRPr="00F94EA9">
        <w:rPr>
          <w:sz w:val="24"/>
          <w:szCs w:val="24"/>
        </w:rPr>
        <w:t xml:space="preserve">Turkey Hill Grange may donate for charitable or humanitarian purposes.  Budget </w:t>
      </w:r>
      <w:r w:rsidR="00752EB7">
        <w:rPr>
          <w:sz w:val="24"/>
          <w:szCs w:val="24"/>
        </w:rPr>
        <w:t>Line Item Numbers (</w:t>
      </w:r>
      <w:r w:rsidRPr="00F94EA9">
        <w:rPr>
          <w:sz w:val="24"/>
          <w:szCs w:val="24"/>
        </w:rPr>
        <w:t>LINs</w:t>
      </w:r>
      <w:r w:rsidR="00752EB7">
        <w:rPr>
          <w:sz w:val="24"/>
          <w:szCs w:val="24"/>
        </w:rPr>
        <w:t>)</w:t>
      </w:r>
      <w:r w:rsidRPr="00F94EA9">
        <w:rPr>
          <w:sz w:val="24"/>
          <w:szCs w:val="24"/>
        </w:rPr>
        <w:t xml:space="preserve"> may be designated for donations to Internal Revenue Service (IRS) 501(c)3 organizations or other types of charitable organizations.  If a LIN is set up, the Authorized Member (see paragraph </w:t>
      </w:r>
      <w:r w:rsidR="00F94EA9" w:rsidRPr="00F94EA9">
        <w:rPr>
          <w:sz w:val="24"/>
          <w:szCs w:val="24"/>
        </w:rPr>
        <w:fldChar w:fldCharType="begin"/>
      </w:r>
      <w:r w:rsidR="00F94EA9" w:rsidRPr="00F94EA9">
        <w:rPr>
          <w:sz w:val="24"/>
          <w:szCs w:val="24"/>
        </w:rPr>
        <w:instrText xml:space="preserve"> REF _Ref154482880 \r \h </w:instrText>
      </w:r>
      <w:r w:rsidR="00F94EA9">
        <w:rPr>
          <w:sz w:val="24"/>
          <w:szCs w:val="24"/>
        </w:rPr>
        <w:instrText xml:space="preserve"> \* MERGEFORMAT </w:instrText>
      </w:r>
      <w:r w:rsidR="00F94EA9" w:rsidRPr="00F94EA9">
        <w:rPr>
          <w:sz w:val="24"/>
          <w:szCs w:val="24"/>
        </w:rPr>
      </w:r>
      <w:r w:rsidR="00F94EA9" w:rsidRPr="00F94EA9">
        <w:rPr>
          <w:sz w:val="24"/>
          <w:szCs w:val="24"/>
        </w:rPr>
        <w:fldChar w:fldCharType="separate"/>
      </w:r>
      <w:r w:rsidR="00F95A92">
        <w:rPr>
          <w:sz w:val="24"/>
          <w:szCs w:val="24"/>
        </w:rPr>
        <w:t>9.1</w:t>
      </w:r>
      <w:r w:rsidR="00F94EA9" w:rsidRPr="00F94EA9">
        <w:rPr>
          <w:sz w:val="24"/>
          <w:szCs w:val="24"/>
        </w:rPr>
        <w:fldChar w:fldCharType="end"/>
      </w:r>
      <w:r w:rsidR="00F94EA9" w:rsidRPr="00F94EA9">
        <w:rPr>
          <w:sz w:val="24"/>
          <w:szCs w:val="24"/>
        </w:rPr>
        <w:t>) may request the Treasurer make a check or cash donation to a specific organization.  The Executive Board must approve off-budget donations.</w:t>
      </w:r>
    </w:p>
    <w:p w14:paraId="0FA8F42A" w14:textId="3BDBB90E" w:rsidR="001E6992" w:rsidRDefault="001E6992" w:rsidP="001E6992">
      <w:pPr>
        <w:pStyle w:val="Heading1"/>
      </w:pPr>
      <w:r>
        <w:t>Budget</w:t>
      </w:r>
    </w:p>
    <w:p w14:paraId="4A5D0813" w14:textId="24E93498" w:rsidR="000E490A" w:rsidRPr="00091A49" w:rsidRDefault="00091A49" w:rsidP="00091A49">
      <w:pPr>
        <w:pStyle w:val="Heading2"/>
        <w:rPr>
          <w:sz w:val="24"/>
          <w:szCs w:val="24"/>
        </w:rPr>
      </w:pPr>
      <w:r>
        <w:t>Introduction</w:t>
      </w:r>
      <w:r w:rsidR="00A976AD">
        <w:t xml:space="preserve">:  </w:t>
      </w:r>
      <w:r w:rsidR="00A976AD" w:rsidRPr="00A976AD">
        <w:rPr>
          <w:sz w:val="24"/>
          <w:szCs w:val="24"/>
        </w:rPr>
        <w:t>The budget guide</w:t>
      </w:r>
      <w:r>
        <w:rPr>
          <w:sz w:val="24"/>
          <w:szCs w:val="24"/>
        </w:rPr>
        <w:t>s</w:t>
      </w:r>
      <w:r w:rsidR="00A976AD" w:rsidRPr="00A976AD">
        <w:rPr>
          <w:sz w:val="24"/>
          <w:szCs w:val="24"/>
        </w:rPr>
        <w:t xml:space="preserve"> fundraising and expenditures for each fiscal year.</w:t>
      </w:r>
      <w:r>
        <w:rPr>
          <w:sz w:val="24"/>
          <w:szCs w:val="24"/>
        </w:rPr>
        <w:t xml:space="preserve">  </w:t>
      </w:r>
      <w:r w:rsidR="000E490A" w:rsidRPr="00091A49">
        <w:rPr>
          <w:sz w:val="24"/>
          <w:szCs w:val="24"/>
        </w:rPr>
        <w:t xml:space="preserve">The budget is organized to show general and specific information for fundraising, operations, and programs.  Line Item Numbers are assigned to each fundraising activity or type, operations area, </w:t>
      </w:r>
      <w:r w:rsidR="007A71EB" w:rsidRPr="00091A49">
        <w:rPr>
          <w:sz w:val="24"/>
          <w:szCs w:val="24"/>
        </w:rPr>
        <w:t xml:space="preserve">or </w:t>
      </w:r>
      <w:r w:rsidR="000E490A" w:rsidRPr="00091A49">
        <w:rPr>
          <w:sz w:val="24"/>
          <w:szCs w:val="24"/>
        </w:rPr>
        <w:t>program</w:t>
      </w:r>
      <w:r w:rsidR="00A63DC1" w:rsidRPr="00091A49">
        <w:rPr>
          <w:sz w:val="24"/>
          <w:szCs w:val="24"/>
        </w:rPr>
        <w:t xml:space="preserve">; see </w:t>
      </w:r>
      <w:r w:rsidR="008711C2" w:rsidRPr="00091A49">
        <w:rPr>
          <w:sz w:val="24"/>
          <w:szCs w:val="24"/>
        </w:rPr>
        <w:t>Appendix A</w:t>
      </w:r>
      <w:r w:rsidR="000E490A" w:rsidRPr="00091A49">
        <w:rPr>
          <w:sz w:val="24"/>
          <w:szCs w:val="24"/>
        </w:rPr>
        <w:t>.</w:t>
      </w:r>
    </w:p>
    <w:p w14:paraId="611A5D59" w14:textId="1B445E62" w:rsidR="0028533B" w:rsidRPr="006105FA" w:rsidRDefault="000E490A" w:rsidP="0028533B">
      <w:pPr>
        <w:pStyle w:val="Heading2"/>
        <w:rPr>
          <w:sz w:val="24"/>
          <w:szCs w:val="24"/>
        </w:rPr>
      </w:pPr>
      <w:r w:rsidRPr="000E490A">
        <w:t>Process</w:t>
      </w:r>
      <w:r w:rsidR="0078190A" w:rsidRPr="000E490A">
        <w:t xml:space="preserve">:  </w:t>
      </w:r>
      <w:r w:rsidR="0078190A" w:rsidRPr="006105FA">
        <w:rPr>
          <w:sz w:val="24"/>
          <w:szCs w:val="24"/>
        </w:rPr>
        <w:t>The yearly THG budget is developed and approved as shown in</w:t>
      </w:r>
      <w:r w:rsidR="007F5F63" w:rsidRPr="006105FA">
        <w:rPr>
          <w:sz w:val="24"/>
          <w:szCs w:val="24"/>
        </w:rPr>
        <w:t xml:space="preserve"> </w:t>
      </w:r>
      <w:r w:rsidR="007F5F63" w:rsidRPr="006105FA">
        <w:rPr>
          <w:sz w:val="24"/>
          <w:szCs w:val="24"/>
        </w:rPr>
        <w:fldChar w:fldCharType="begin"/>
      </w:r>
      <w:r w:rsidR="007F5F63" w:rsidRPr="006105FA">
        <w:rPr>
          <w:sz w:val="24"/>
          <w:szCs w:val="24"/>
        </w:rPr>
        <w:instrText xml:space="preserve"> REF _Ref151028422 \h </w:instrText>
      </w:r>
      <w:r w:rsidR="002A149B" w:rsidRPr="006105FA">
        <w:rPr>
          <w:sz w:val="24"/>
          <w:szCs w:val="24"/>
        </w:rPr>
        <w:instrText xml:space="preserve"> \* MERGEFORMAT </w:instrText>
      </w:r>
      <w:r w:rsidR="007F5F63" w:rsidRPr="0028533B">
        <w:rPr>
          <w:sz w:val="24"/>
          <w:szCs w:val="24"/>
        </w:rPr>
      </w:r>
      <w:r w:rsidR="007F5F63" w:rsidRPr="006105FA">
        <w:rPr>
          <w:sz w:val="24"/>
          <w:szCs w:val="24"/>
        </w:rPr>
        <w:fldChar w:fldCharType="separate"/>
      </w:r>
      <w:r w:rsidR="00F95A92" w:rsidRPr="006105FA">
        <w:rPr>
          <w:sz w:val="24"/>
          <w:szCs w:val="24"/>
        </w:rPr>
        <w:t>Table 1</w:t>
      </w:r>
      <w:r w:rsidR="007F5F63" w:rsidRPr="006105FA">
        <w:rPr>
          <w:sz w:val="24"/>
          <w:szCs w:val="24"/>
        </w:rPr>
        <w:fldChar w:fldCharType="end"/>
      </w:r>
      <w:r w:rsidR="007F5F63" w:rsidRPr="006105FA">
        <w:rPr>
          <w:sz w:val="24"/>
          <w:szCs w:val="24"/>
        </w:rPr>
        <w:t>.</w:t>
      </w:r>
      <w:r w:rsidR="0028533B" w:rsidRPr="006105FA">
        <w:rPr>
          <w:sz w:val="24"/>
          <w:szCs w:val="24"/>
        </w:rPr>
        <w:t xml:space="preserve">  </w:t>
      </w:r>
      <w:r w:rsidR="0028533B" w:rsidRPr="006105FA">
        <w:rPr>
          <w:sz w:val="24"/>
          <w:szCs w:val="24"/>
        </w:rPr>
        <w:fldChar w:fldCharType="begin"/>
      </w:r>
      <w:r w:rsidR="0028533B" w:rsidRPr="006105FA">
        <w:rPr>
          <w:sz w:val="24"/>
          <w:szCs w:val="24"/>
        </w:rPr>
        <w:instrText xml:space="preserve"> REF _Ref152238993 \h  \* MERGEFORMAT </w:instrText>
      </w:r>
      <w:r w:rsidR="0028533B" w:rsidRPr="0028533B">
        <w:rPr>
          <w:sz w:val="24"/>
          <w:szCs w:val="24"/>
        </w:rPr>
      </w:r>
      <w:r w:rsidR="0028533B" w:rsidRPr="006105FA">
        <w:rPr>
          <w:sz w:val="24"/>
          <w:szCs w:val="24"/>
        </w:rPr>
        <w:fldChar w:fldCharType="separate"/>
      </w:r>
      <w:r w:rsidR="00F95A92" w:rsidRPr="006105FA">
        <w:rPr>
          <w:noProof/>
          <w:sz w:val="24"/>
          <w:szCs w:val="24"/>
        </w:rPr>
        <w:t>Figure</w:t>
      </w:r>
      <w:r w:rsidR="00F95A92">
        <w:t xml:space="preserve"> </w:t>
      </w:r>
      <w:r w:rsidR="00F95A92">
        <w:rPr>
          <w:noProof/>
        </w:rPr>
        <w:t>1</w:t>
      </w:r>
      <w:r w:rsidR="0028533B" w:rsidRPr="006105FA">
        <w:rPr>
          <w:sz w:val="24"/>
          <w:szCs w:val="24"/>
        </w:rPr>
        <w:fldChar w:fldCharType="end"/>
      </w:r>
      <w:r w:rsidR="0028533B" w:rsidRPr="006105FA">
        <w:rPr>
          <w:sz w:val="24"/>
          <w:szCs w:val="24"/>
        </w:rPr>
        <w:t xml:space="preserve"> shows the budgeting process.</w:t>
      </w:r>
    </w:p>
    <w:p w14:paraId="00497BC1" w14:textId="3C8FBB50" w:rsidR="007F5F63" w:rsidRDefault="007F5F63" w:rsidP="007F5F63">
      <w:pPr>
        <w:pStyle w:val="Caption"/>
        <w:keepNext/>
      </w:pPr>
      <w:bookmarkStart w:id="2" w:name="_Ref151028422"/>
      <w:r>
        <w:t xml:space="preserve">Table </w:t>
      </w:r>
      <w:fldSimple w:instr=" SEQ Table \* ARABIC ">
        <w:r w:rsidR="00F95A92">
          <w:rPr>
            <w:noProof/>
          </w:rPr>
          <w:t>1</w:t>
        </w:r>
      </w:fldSimple>
      <w:bookmarkEnd w:id="2"/>
      <w:r>
        <w:t>.  Budget Schedule</w:t>
      </w:r>
    </w:p>
    <w:tbl>
      <w:tblPr>
        <w:tblStyle w:val="TableGrid"/>
        <w:tblW w:w="0" w:type="auto"/>
        <w:tblLook w:val="04A0" w:firstRow="1" w:lastRow="0" w:firstColumn="1" w:lastColumn="0" w:noHBand="0" w:noVBand="1"/>
      </w:tblPr>
      <w:tblGrid>
        <w:gridCol w:w="3055"/>
        <w:gridCol w:w="3889"/>
      </w:tblGrid>
      <w:tr w:rsidR="006105FA" w14:paraId="306EA6E3" w14:textId="77777777" w:rsidTr="006105FA">
        <w:tc>
          <w:tcPr>
            <w:tcW w:w="3055" w:type="dxa"/>
            <w:shd w:val="clear" w:color="auto" w:fill="F2F2F2" w:themeFill="background1" w:themeFillShade="F2"/>
          </w:tcPr>
          <w:p w14:paraId="6F768104" w14:textId="0DE64362" w:rsidR="006105FA" w:rsidRPr="007F5F63" w:rsidRDefault="006105FA" w:rsidP="007F5F63">
            <w:pPr>
              <w:rPr>
                <w:b/>
                <w:bCs/>
              </w:rPr>
            </w:pPr>
            <w:r w:rsidRPr="007F5F63">
              <w:rPr>
                <w:b/>
                <w:bCs/>
              </w:rPr>
              <w:t>Event</w:t>
            </w:r>
          </w:p>
        </w:tc>
        <w:tc>
          <w:tcPr>
            <w:tcW w:w="3889" w:type="dxa"/>
            <w:shd w:val="clear" w:color="auto" w:fill="F2F2F2" w:themeFill="background1" w:themeFillShade="F2"/>
          </w:tcPr>
          <w:p w14:paraId="30405E4E" w14:textId="3378B89A" w:rsidR="006105FA" w:rsidRPr="007F5F63" w:rsidRDefault="006105FA" w:rsidP="007F5F63">
            <w:pPr>
              <w:rPr>
                <w:b/>
                <w:bCs/>
              </w:rPr>
            </w:pPr>
            <w:r w:rsidRPr="007F5F63">
              <w:rPr>
                <w:b/>
                <w:bCs/>
              </w:rPr>
              <w:t>Schedule</w:t>
            </w:r>
          </w:p>
        </w:tc>
      </w:tr>
      <w:tr w:rsidR="006105FA" w14:paraId="7A19FB55" w14:textId="77777777" w:rsidTr="006105FA">
        <w:tc>
          <w:tcPr>
            <w:tcW w:w="3055" w:type="dxa"/>
          </w:tcPr>
          <w:p w14:paraId="2005100F" w14:textId="5D888E6E" w:rsidR="006105FA" w:rsidRDefault="006105FA" w:rsidP="007F5F63">
            <w:r>
              <w:t>Approve Budget Guidance</w:t>
            </w:r>
          </w:p>
        </w:tc>
        <w:tc>
          <w:tcPr>
            <w:tcW w:w="3889" w:type="dxa"/>
          </w:tcPr>
          <w:p w14:paraId="7D45CEC3" w14:textId="1B6B9FB3" w:rsidR="006105FA" w:rsidRDefault="006105FA" w:rsidP="007F5F63">
            <w:r>
              <w:t>September Executive Board Meeting</w:t>
            </w:r>
          </w:p>
        </w:tc>
      </w:tr>
      <w:tr w:rsidR="006105FA" w14:paraId="1B1D995C" w14:textId="77777777" w:rsidTr="006105FA">
        <w:tc>
          <w:tcPr>
            <w:tcW w:w="3055" w:type="dxa"/>
          </w:tcPr>
          <w:p w14:paraId="51CBECAE" w14:textId="09653BB9" w:rsidR="006105FA" w:rsidRDefault="006105FA" w:rsidP="007F5F63">
            <w:r>
              <w:t>Develop Draft Budget</w:t>
            </w:r>
          </w:p>
        </w:tc>
        <w:tc>
          <w:tcPr>
            <w:tcW w:w="3889" w:type="dxa"/>
          </w:tcPr>
          <w:p w14:paraId="1743B258" w14:textId="72BE717B" w:rsidR="006105FA" w:rsidRDefault="006105FA" w:rsidP="007F5F63">
            <w:r>
              <w:t>October Executive Board Meeting</w:t>
            </w:r>
          </w:p>
        </w:tc>
      </w:tr>
      <w:tr w:rsidR="006105FA" w14:paraId="6D9DDF10" w14:textId="77777777" w:rsidTr="006105FA">
        <w:tc>
          <w:tcPr>
            <w:tcW w:w="3055" w:type="dxa"/>
          </w:tcPr>
          <w:p w14:paraId="59912B86" w14:textId="7EA3EC61" w:rsidR="006105FA" w:rsidRDefault="006105FA" w:rsidP="007F5F63">
            <w:r>
              <w:t>Approve Proposed Budget</w:t>
            </w:r>
          </w:p>
        </w:tc>
        <w:tc>
          <w:tcPr>
            <w:tcW w:w="3889" w:type="dxa"/>
          </w:tcPr>
          <w:p w14:paraId="313F8A00" w14:textId="1F7A09DF" w:rsidR="006105FA" w:rsidRDefault="006105FA" w:rsidP="007F5F63">
            <w:r>
              <w:t>November Executive Board Meeting</w:t>
            </w:r>
          </w:p>
        </w:tc>
      </w:tr>
      <w:tr w:rsidR="006105FA" w14:paraId="6640AA8F" w14:textId="77777777" w:rsidTr="006105FA">
        <w:tc>
          <w:tcPr>
            <w:tcW w:w="3055" w:type="dxa"/>
          </w:tcPr>
          <w:p w14:paraId="52AE5891" w14:textId="7F0334AB" w:rsidR="006105FA" w:rsidRDefault="006105FA" w:rsidP="007F5F63">
            <w:r>
              <w:t>Approve Budget</w:t>
            </w:r>
          </w:p>
        </w:tc>
        <w:tc>
          <w:tcPr>
            <w:tcW w:w="3889" w:type="dxa"/>
          </w:tcPr>
          <w:p w14:paraId="0588A578" w14:textId="5A0121A0" w:rsidR="006105FA" w:rsidRDefault="006105FA" w:rsidP="007F5F63">
            <w:r>
              <w:t>November Membership Meeting</w:t>
            </w:r>
          </w:p>
        </w:tc>
      </w:tr>
    </w:tbl>
    <w:p w14:paraId="0DA4FC48" w14:textId="77777777" w:rsidR="00F95A92" w:rsidRDefault="00F95A92" w:rsidP="000B29AF">
      <w:pPr>
        <w:pStyle w:val="Caption"/>
      </w:pPr>
      <w:bookmarkStart w:id="3" w:name="_Ref152238993"/>
      <w:bookmarkStart w:id="4" w:name="_Ref152238953"/>
    </w:p>
    <w:bookmarkEnd w:id="3"/>
    <w:bookmarkEnd w:id="4"/>
    <w:p w14:paraId="5411D6B6" w14:textId="348320E2" w:rsidR="00F95A92" w:rsidRDefault="00F95A92" w:rsidP="00F95A92">
      <w:pPr>
        <w:pStyle w:val="Caption"/>
        <w:keepNext/>
      </w:pPr>
      <w:r>
        <w:rPr>
          <w:noProof/>
        </w:rPr>
        <w:lastRenderedPageBreak/>
        <w:drawing>
          <wp:inline distT="0" distB="0" distL="0" distR="0" wp14:anchorId="612B90A6" wp14:editId="5385CE9E">
            <wp:extent cx="5943600" cy="4468495"/>
            <wp:effectExtent l="0" t="0" r="0" b="8255"/>
            <wp:docPr id="894172797" name="Picture 2" descr="A diagram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172797" name="Picture 2" descr="A diagram of a projec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68495"/>
                    </a:xfrm>
                    <a:prstGeom prst="rect">
                      <a:avLst/>
                    </a:prstGeom>
                  </pic:spPr>
                </pic:pic>
              </a:graphicData>
            </a:graphic>
          </wp:inline>
        </w:drawing>
      </w:r>
    </w:p>
    <w:p w14:paraId="2748C272" w14:textId="25915565" w:rsidR="000B29AF" w:rsidRDefault="00F95A92" w:rsidP="00F95A92">
      <w:pPr>
        <w:pStyle w:val="Caption"/>
      </w:pPr>
      <w:r>
        <w:rPr>
          <w:noProof/>
        </w:rPr>
        <mc:AlternateContent>
          <mc:Choice Requires="wps">
            <w:drawing>
              <wp:anchor distT="45720" distB="45720" distL="114300" distR="114300" simplePos="0" relativeHeight="251659264" behindDoc="0" locked="0" layoutInCell="1" allowOverlap="1" wp14:anchorId="47CAEA7A" wp14:editId="7E245CC2">
                <wp:simplePos x="0" y="0"/>
                <wp:positionH relativeFrom="margin">
                  <wp:posOffset>3168015</wp:posOffset>
                </wp:positionH>
                <wp:positionV relativeFrom="margin">
                  <wp:posOffset>4648744</wp:posOffset>
                </wp:positionV>
                <wp:extent cx="2612390" cy="1404620"/>
                <wp:effectExtent l="0" t="0" r="1651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04620"/>
                        </a:xfrm>
                        <a:prstGeom prst="rect">
                          <a:avLst/>
                        </a:prstGeom>
                        <a:solidFill>
                          <a:srgbClr val="FFFFFF"/>
                        </a:solidFill>
                        <a:ln w="9525">
                          <a:solidFill>
                            <a:srgbClr val="000000"/>
                          </a:solidFill>
                          <a:miter lim="800000"/>
                          <a:headEnd/>
                          <a:tailEnd/>
                        </a:ln>
                      </wps:spPr>
                      <wps:txbx>
                        <w:txbxContent>
                          <w:p w14:paraId="13A4F867" w14:textId="77777777" w:rsidR="00F95A92" w:rsidRDefault="00F95A92" w:rsidP="00F95A92">
                            <w:pPr>
                              <w:pStyle w:val="Note"/>
                            </w:pPr>
                            <w:r>
                              <w:t>Notes:</w:t>
                            </w:r>
                          </w:p>
                          <w:p w14:paraId="3ADA3B0B" w14:textId="77777777" w:rsidR="00F95A92" w:rsidRDefault="00F95A92" w:rsidP="00F95A92">
                            <w:pPr>
                              <w:pStyle w:val="Note"/>
                              <w:numPr>
                                <w:ilvl w:val="0"/>
                                <w:numId w:val="23"/>
                              </w:numPr>
                              <w:ind w:left="270" w:hanging="270"/>
                            </w:pPr>
                            <w:r>
                              <w:t>Budget guidance contains</w:t>
                            </w:r>
                            <w:r w:rsidRPr="00AC3EE1">
                              <w:t xml:space="preserve"> </w:t>
                            </w:r>
                            <w:r>
                              <w:t>assumptions necessary for developing the budget.</w:t>
                            </w:r>
                          </w:p>
                          <w:p w14:paraId="6117F49A" w14:textId="77777777" w:rsidR="00F95A92" w:rsidRDefault="00F95A92" w:rsidP="00F95A92">
                            <w:pPr>
                              <w:pStyle w:val="Note"/>
                              <w:numPr>
                                <w:ilvl w:val="0"/>
                                <w:numId w:val="23"/>
                              </w:numPr>
                              <w:ind w:left="270" w:hanging="270"/>
                            </w:pPr>
                            <w:r>
                              <w:t>If tabled, the Proposed Budget must be taken from the table at the next regular meeting.  If rejected, the Executive Board will revise the Proposed Budget according to member inputs and present the revised Proposed Budget at the next regular or special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AEA7A" id="_x0000_t202" coordsize="21600,21600" o:spt="202" path="m,l,21600r21600,l21600,xe">
                <v:stroke joinstyle="miter"/>
                <v:path gradientshapeok="t" o:connecttype="rect"/>
              </v:shapetype>
              <v:shape id="Text Box 2" o:spid="_x0000_s1026" type="#_x0000_t202" style="position:absolute;margin-left:249.45pt;margin-top:366.05pt;width:205.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">
                <v:textbox style="mso-fit-shape-to-text:t">
                  <w:txbxContent>
                    <w:p w14:paraId="13A4F867" w14:textId="77777777" w:rsidR="00F95A92" w:rsidRDefault="00F95A92" w:rsidP="00F95A92">
                      <w:pPr>
                        <w:pStyle w:val="Note"/>
                      </w:pPr>
                      <w:r>
                        <w:t>Notes:</w:t>
                      </w:r>
                    </w:p>
                    <w:p w14:paraId="3ADA3B0B" w14:textId="77777777" w:rsidR="00F95A92" w:rsidRDefault="00F95A92" w:rsidP="00F95A92">
                      <w:pPr>
                        <w:pStyle w:val="Note"/>
                        <w:numPr>
                          <w:ilvl w:val="0"/>
                          <w:numId w:val="23"/>
                        </w:numPr>
                        <w:ind w:left="270" w:hanging="270"/>
                      </w:pPr>
                      <w:r>
                        <w:t>Budget guidance contains</w:t>
                      </w:r>
                      <w:r w:rsidRPr="00AC3EE1">
                        <w:t xml:space="preserve"> </w:t>
                      </w:r>
                      <w:r>
                        <w:t>assumptions necessary for developing the budget.</w:t>
                      </w:r>
                    </w:p>
                    <w:p w14:paraId="6117F49A" w14:textId="77777777" w:rsidR="00F95A92" w:rsidRDefault="00F95A92" w:rsidP="00F95A92">
                      <w:pPr>
                        <w:pStyle w:val="Note"/>
                        <w:numPr>
                          <w:ilvl w:val="0"/>
                          <w:numId w:val="23"/>
                        </w:numPr>
                        <w:ind w:left="270" w:hanging="270"/>
                      </w:pPr>
                      <w:r>
                        <w:t>If tabled, the Proposed Budget must be taken from the table at the next regular meeting.  If rejected, the Executive Board will revise the Proposed Budget according to member inputs and present the revised Proposed Budget at the next regular or special meeting.</w:t>
                      </w:r>
                    </w:p>
                  </w:txbxContent>
                </v:textbox>
                <w10:wrap type="square" anchorx="margin" anchory="margin"/>
              </v:shape>
            </w:pict>
          </mc:Fallback>
        </mc:AlternateContent>
      </w:r>
      <w:r>
        <w:t xml:space="preserve">Figure </w:t>
      </w:r>
      <w:fldSimple w:instr=" SEQ Figure \* ARABIC ">
        <w:r>
          <w:rPr>
            <w:noProof/>
          </w:rPr>
          <w:t>1</w:t>
        </w:r>
      </w:fldSimple>
      <w:r>
        <w:t>.  Budget Process</w:t>
      </w:r>
    </w:p>
    <w:p w14:paraId="568E450F" w14:textId="1B95992F" w:rsidR="00F95A92" w:rsidRDefault="00F95A92" w:rsidP="00F95A92">
      <w:pPr>
        <w:pStyle w:val="NoSpacing"/>
      </w:pPr>
    </w:p>
    <w:p w14:paraId="092495D1" w14:textId="2F33AB82" w:rsidR="001E6992" w:rsidRDefault="001E6992" w:rsidP="001E6992">
      <w:pPr>
        <w:pStyle w:val="Heading1"/>
      </w:pPr>
      <w:r>
        <w:t>Execution</w:t>
      </w:r>
    </w:p>
    <w:p w14:paraId="32F46DC1" w14:textId="12C4B747" w:rsidR="00AC3EE1" w:rsidRDefault="00AC3EE1" w:rsidP="00AC3EE1">
      <w:r>
        <w:t xml:space="preserve">Membership approval of the yearly budget </w:t>
      </w:r>
      <w:r w:rsidR="004129F3">
        <w:t xml:space="preserve">is </w:t>
      </w:r>
      <w:r>
        <w:t>a</w:t>
      </w:r>
      <w:r w:rsidR="00B95107">
        <w:t>uthority</w:t>
      </w:r>
      <w:r>
        <w:t xml:space="preserve"> to execute the budget starting at the beginning of the fiscal year.  </w:t>
      </w:r>
      <w:r w:rsidR="005A6F8E">
        <w:t xml:space="preserve">Funds in THG accounts on the </w:t>
      </w:r>
      <w:r w:rsidR="006105FA">
        <w:t xml:space="preserve">last </w:t>
      </w:r>
      <w:r w:rsidR="005A6F8E">
        <w:t>day of the fiscal year are automatically carried over into the same account at the beginning of the next fiscal year.  In the General Fund money is carried forward as a lump sum regardless of source.</w:t>
      </w:r>
    </w:p>
    <w:p w14:paraId="65F53B22" w14:textId="0BEA63AB" w:rsidR="004129F3" w:rsidRDefault="004129F3">
      <w:pPr>
        <w:spacing w:after="160" w:line="259" w:lineRule="auto"/>
      </w:pPr>
      <w:r>
        <w:br w:type="page"/>
      </w:r>
    </w:p>
    <w:p w14:paraId="2A7598A7" w14:textId="1A4DB524" w:rsidR="001E6992" w:rsidRDefault="001E6992" w:rsidP="00BA5FCB">
      <w:pPr>
        <w:pStyle w:val="Heading2"/>
      </w:pPr>
      <w:bookmarkStart w:id="5" w:name="_Ref154482880"/>
      <w:r>
        <w:lastRenderedPageBreak/>
        <w:t>Spending Authority</w:t>
      </w:r>
      <w:bookmarkEnd w:id="5"/>
    </w:p>
    <w:p w14:paraId="22C1E92E" w14:textId="2FC13768" w:rsidR="00B5293D" w:rsidRPr="00BA5FCB" w:rsidRDefault="00AE7766" w:rsidP="00B5293D">
      <w:r>
        <w:t xml:space="preserve">“Authorized Members” are </w:t>
      </w:r>
      <w:r w:rsidR="004129F3">
        <w:t xml:space="preserve">THG </w:t>
      </w:r>
      <w:r>
        <w:t xml:space="preserve">Members allowed to manage funds in budget lines. </w:t>
      </w:r>
      <w:r w:rsidR="00F71AD1">
        <w:t xml:space="preserve"> </w:t>
      </w:r>
      <w:r w:rsidR="00F71AD1">
        <w:fldChar w:fldCharType="begin"/>
      </w:r>
      <w:r w:rsidR="00F71AD1">
        <w:instrText xml:space="preserve"> REF _Ref152239819 \h </w:instrText>
      </w:r>
      <w:r w:rsidR="00F71AD1">
        <w:fldChar w:fldCharType="separate"/>
      </w:r>
      <w:r w:rsidR="00F95A92">
        <w:t xml:space="preserve">Table </w:t>
      </w:r>
      <w:r w:rsidR="00F95A92">
        <w:rPr>
          <w:noProof/>
        </w:rPr>
        <w:t>2</w:t>
      </w:r>
      <w:r w:rsidR="00F71AD1">
        <w:fldChar w:fldCharType="end"/>
      </w:r>
      <w:r w:rsidR="0090055A">
        <w:t xml:space="preserve"> lists Authorized Members</w:t>
      </w:r>
      <w:r w:rsidR="00F22802">
        <w:t>.</w:t>
      </w:r>
      <w:r w:rsidR="00B5293D">
        <w:t xml:space="preserve">  </w:t>
      </w:r>
      <w:r w:rsidR="00A63DC1">
        <w:t xml:space="preserve">The President may identify </w:t>
      </w:r>
      <w:r w:rsidR="00B5293D">
        <w:t xml:space="preserve">additional </w:t>
      </w:r>
      <w:r w:rsidR="00175629">
        <w:t>A</w:t>
      </w:r>
      <w:r w:rsidR="00A63DC1">
        <w:t>uthorize</w:t>
      </w:r>
      <w:r w:rsidR="00B5293D">
        <w:t>d</w:t>
      </w:r>
      <w:r w:rsidR="00A63DC1">
        <w:t xml:space="preserve"> </w:t>
      </w:r>
      <w:r w:rsidR="00175629">
        <w:t>M</w:t>
      </w:r>
      <w:r w:rsidR="00B5293D">
        <w:t>embers to the Executive Board.  The authorization is effective for the entire fiscal year unless revoked.</w:t>
      </w:r>
    </w:p>
    <w:p w14:paraId="6D13B79B" w14:textId="60743BAE" w:rsidR="00AE7766" w:rsidRDefault="00AE7766" w:rsidP="00AE7766">
      <w:pPr>
        <w:pStyle w:val="Caption"/>
        <w:keepNext/>
      </w:pPr>
      <w:bookmarkStart w:id="6" w:name="_Ref152239819"/>
      <w:bookmarkStart w:id="7" w:name="_Ref152079207"/>
      <w:r>
        <w:t xml:space="preserve">Table </w:t>
      </w:r>
      <w:fldSimple w:instr=" SEQ Table \* ARABIC ">
        <w:r w:rsidR="00F95A92">
          <w:rPr>
            <w:noProof/>
          </w:rPr>
          <w:t>2</w:t>
        </w:r>
      </w:fldSimple>
      <w:bookmarkEnd w:id="6"/>
      <w:r>
        <w:t>.  Authorized Members</w:t>
      </w:r>
      <w:bookmarkEnd w:id="7"/>
    </w:p>
    <w:tbl>
      <w:tblPr>
        <w:tblStyle w:val="TableGrid"/>
        <w:tblW w:w="0" w:type="auto"/>
        <w:tblLook w:val="04A0" w:firstRow="1" w:lastRow="0" w:firstColumn="1" w:lastColumn="0" w:noHBand="0" w:noVBand="1"/>
      </w:tblPr>
      <w:tblGrid>
        <w:gridCol w:w="3116"/>
        <w:gridCol w:w="5699"/>
      </w:tblGrid>
      <w:tr w:rsidR="00F22802" w14:paraId="0F98F046" w14:textId="77777777" w:rsidTr="00041265">
        <w:tc>
          <w:tcPr>
            <w:tcW w:w="3116" w:type="dxa"/>
            <w:shd w:val="clear" w:color="auto" w:fill="F2F2F2" w:themeFill="background1" w:themeFillShade="F2"/>
          </w:tcPr>
          <w:p w14:paraId="66893C0E" w14:textId="5587B606" w:rsidR="00F22802" w:rsidRPr="00AE7766" w:rsidRDefault="00F22802" w:rsidP="00BA5FCB">
            <w:pPr>
              <w:rPr>
                <w:b/>
                <w:bCs/>
              </w:rPr>
            </w:pPr>
            <w:r w:rsidRPr="00AE7766">
              <w:rPr>
                <w:b/>
                <w:bCs/>
              </w:rPr>
              <w:t>Authorized Member</w:t>
            </w:r>
          </w:p>
        </w:tc>
        <w:tc>
          <w:tcPr>
            <w:tcW w:w="5699" w:type="dxa"/>
            <w:shd w:val="clear" w:color="auto" w:fill="F2F2F2" w:themeFill="background1" w:themeFillShade="F2"/>
          </w:tcPr>
          <w:p w14:paraId="39D1C2D2" w14:textId="53DAFC81" w:rsidR="00F22802" w:rsidRPr="00AE7766" w:rsidRDefault="00F22802" w:rsidP="00BA5FCB">
            <w:pPr>
              <w:rPr>
                <w:b/>
                <w:bCs/>
              </w:rPr>
            </w:pPr>
            <w:r w:rsidRPr="00AE7766">
              <w:rPr>
                <w:b/>
                <w:bCs/>
              </w:rPr>
              <w:t>Manages</w:t>
            </w:r>
            <w:r w:rsidR="00F71AD1">
              <w:rPr>
                <w:b/>
                <w:bCs/>
              </w:rPr>
              <w:t xml:space="preserve"> Budget Lines for:</w:t>
            </w:r>
          </w:p>
        </w:tc>
      </w:tr>
      <w:tr w:rsidR="00F22802" w14:paraId="49CA254B" w14:textId="77777777" w:rsidTr="00F22802">
        <w:tc>
          <w:tcPr>
            <w:tcW w:w="3116" w:type="dxa"/>
          </w:tcPr>
          <w:p w14:paraId="794668C5" w14:textId="13AE530B" w:rsidR="00F22802" w:rsidRDefault="00F22802" w:rsidP="00BA5FCB">
            <w:r>
              <w:t>President &amp; Vice President</w:t>
            </w:r>
          </w:p>
        </w:tc>
        <w:tc>
          <w:tcPr>
            <w:tcW w:w="5699" w:type="dxa"/>
          </w:tcPr>
          <w:p w14:paraId="1D2E4860" w14:textId="27432534" w:rsidR="00F22802" w:rsidRDefault="00F71AD1" w:rsidP="00BA5FCB">
            <w:r>
              <w:t>Entire Budget</w:t>
            </w:r>
          </w:p>
        </w:tc>
      </w:tr>
      <w:tr w:rsidR="004129F3" w14:paraId="2CD03222" w14:textId="77777777" w:rsidTr="00F22802">
        <w:tc>
          <w:tcPr>
            <w:tcW w:w="3116" w:type="dxa"/>
          </w:tcPr>
          <w:p w14:paraId="592421E1" w14:textId="26B9B563" w:rsidR="004129F3" w:rsidRDefault="004129F3" w:rsidP="004129F3">
            <w:pPr>
              <w:pStyle w:val="NoSpacing"/>
            </w:pPr>
            <w:r>
              <w:t>THG Officers</w:t>
            </w:r>
          </w:p>
        </w:tc>
        <w:tc>
          <w:tcPr>
            <w:tcW w:w="5699" w:type="dxa"/>
          </w:tcPr>
          <w:p w14:paraId="5A348B48" w14:textId="12BAF6E5" w:rsidR="004129F3" w:rsidRDefault="004129F3" w:rsidP="00BA5FCB">
            <w:r>
              <w:t>Functional areas within their responsibilities</w:t>
            </w:r>
          </w:p>
        </w:tc>
      </w:tr>
      <w:tr w:rsidR="00F22802" w14:paraId="3271E845" w14:textId="77777777" w:rsidTr="00F22802">
        <w:tc>
          <w:tcPr>
            <w:tcW w:w="3116" w:type="dxa"/>
          </w:tcPr>
          <w:p w14:paraId="6B0583BD" w14:textId="48200A90" w:rsidR="00F22802" w:rsidRDefault="00F22802" w:rsidP="00BA5FCB">
            <w:r>
              <w:t>Committee Chairperson</w:t>
            </w:r>
          </w:p>
        </w:tc>
        <w:tc>
          <w:tcPr>
            <w:tcW w:w="5699" w:type="dxa"/>
          </w:tcPr>
          <w:p w14:paraId="4D9BCD2A" w14:textId="68F681B5" w:rsidR="00F22802" w:rsidRDefault="00F22802" w:rsidP="00BA5FCB">
            <w:r>
              <w:t>Committee’s functions</w:t>
            </w:r>
          </w:p>
        </w:tc>
      </w:tr>
      <w:tr w:rsidR="00F22802" w14:paraId="6C6E9413" w14:textId="77777777" w:rsidTr="00F22802">
        <w:tc>
          <w:tcPr>
            <w:tcW w:w="3116" w:type="dxa"/>
          </w:tcPr>
          <w:p w14:paraId="56E87768" w14:textId="34CC35DE" w:rsidR="00F22802" w:rsidRDefault="00F22802" w:rsidP="00BA5FCB">
            <w:r>
              <w:t xml:space="preserve">Project </w:t>
            </w:r>
            <w:r w:rsidR="0001158D">
              <w:t xml:space="preserve">or Event </w:t>
            </w:r>
            <w:r>
              <w:t>Leader</w:t>
            </w:r>
          </w:p>
        </w:tc>
        <w:tc>
          <w:tcPr>
            <w:tcW w:w="5699" w:type="dxa"/>
          </w:tcPr>
          <w:p w14:paraId="2F39B08A" w14:textId="686F9143" w:rsidR="00F22802" w:rsidRDefault="00F71AD1" w:rsidP="00BA5FCB">
            <w:r>
              <w:t>P</w:t>
            </w:r>
            <w:r w:rsidR="00F22802">
              <w:t>roject</w:t>
            </w:r>
            <w:r w:rsidR="0001158D">
              <w:t xml:space="preserve"> or event</w:t>
            </w:r>
          </w:p>
        </w:tc>
      </w:tr>
      <w:tr w:rsidR="00F22802" w14:paraId="655E9803" w14:textId="77777777" w:rsidTr="00F22802">
        <w:tc>
          <w:tcPr>
            <w:tcW w:w="3116" w:type="dxa"/>
          </w:tcPr>
          <w:p w14:paraId="693388B9" w14:textId="286CB724" w:rsidR="00F22802" w:rsidRDefault="00F22802" w:rsidP="00BA5FCB">
            <w:r>
              <w:t>Treasurer</w:t>
            </w:r>
          </w:p>
        </w:tc>
        <w:tc>
          <w:tcPr>
            <w:tcW w:w="5699" w:type="dxa"/>
          </w:tcPr>
          <w:p w14:paraId="791109BB" w14:textId="299E7134" w:rsidR="00F22802" w:rsidRDefault="00F71AD1" w:rsidP="00BA5FCB">
            <w:r>
              <w:t>R</w:t>
            </w:r>
            <w:r w:rsidR="00F22802">
              <w:t>ecurring expenses</w:t>
            </w:r>
          </w:p>
        </w:tc>
      </w:tr>
    </w:tbl>
    <w:p w14:paraId="2C22A495" w14:textId="77777777" w:rsidR="00DF2039" w:rsidRDefault="00DF2039" w:rsidP="00DF2039"/>
    <w:p w14:paraId="306A73F3" w14:textId="6DBAA396" w:rsidR="001E6992" w:rsidRDefault="00B5293D" w:rsidP="00BA5FCB">
      <w:pPr>
        <w:pStyle w:val="Heading3"/>
      </w:pPr>
      <w:r>
        <w:t xml:space="preserve">Contracted </w:t>
      </w:r>
      <w:r w:rsidR="001E6992">
        <w:t>Expenses</w:t>
      </w:r>
      <w:r w:rsidR="00BA5FCB">
        <w:t xml:space="preserve">:  </w:t>
      </w:r>
      <w:r w:rsidR="008E7BB3">
        <w:t xml:space="preserve">Contracts for services such as lawn care </w:t>
      </w:r>
      <w:r w:rsidR="00687FE6">
        <w:t>become</w:t>
      </w:r>
      <w:r w:rsidR="008E7BB3">
        <w:t xml:space="preserve"> recurring expenses after the contract </w:t>
      </w:r>
      <w:r w:rsidR="00F71AD1">
        <w:t xml:space="preserve">is completed </w:t>
      </w:r>
      <w:r w:rsidR="008E7BB3">
        <w:t>with the service provider.</w:t>
      </w:r>
    </w:p>
    <w:p w14:paraId="49F3E667" w14:textId="75B8CB35" w:rsidR="00056196" w:rsidRDefault="001E6992" w:rsidP="006478FF">
      <w:pPr>
        <w:pStyle w:val="Heading3"/>
      </w:pPr>
      <w:bookmarkStart w:id="8" w:name="_Ref152081902"/>
      <w:r>
        <w:t>Off-Budget</w:t>
      </w:r>
      <w:r w:rsidR="00056196">
        <w:t xml:space="preserve"> Expenses:  </w:t>
      </w:r>
      <w:r w:rsidR="00687FE6">
        <w:t xml:space="preserve">Unplanned expenditures may be necessary. </w:t>
      </w:r>
      <w:r w:rsidR="00D43C74">
        <w:t xml:space="preserve"> When </w:t>
      </w:r>
      <w:r w:rsidR="005048D9">
        <w:t xml:space="preserve">an off-budget expense </w:t>
      </w:r>
      <w:r w:rsidR="00D43C74">
        <w:t xml:space="preserve">is identified, the President specifies an </w:t>
      </w:r>
      <w:r w:rsidR="00A54DAB">
        <w:t>A</w:t>
      </w:r>
      <w:r w:rsidR="00D43C74">
        <w:t xml:space="preserve">uthorized </w:t>
      </w:r>
      <w:r w:rsidR="00A54DAB">
        <w:t>M</w:t>
      </w:r>
      <w:r w:rsidR="00D43C74">
        <w:t>ember to manage the funds.</w:t>
      </w:r>
      <w:bookmarkEnd w:id="8"/>
    </w:p>
    <w:p w14:paraId="55FF9B85" w14:textId="606AE5DB" w:rsidR="001E6992" w:rsidRDefault="00056196" w:rsidP="006478FF">
      <w:pPr>
        <w:pStyle w:val="Heading3"/>
      </w:pPr>
      <w:bookmarkStart w:id="9" w:name="_Ref152081956"/>
      <w:r>
        <w:t xml:space="preserve">Over-Budget Expenses:  </w:t>
      </w:r>
      <w:r w:rsidR="00687FE6">
        <w:t>E</w:t>
      </w:r>
      <w:r w:rsidR="000B6B7F">
        <w:t xml:space="preserve">xpenditures from a single budget </w:t>
      </w:r>
      <w:r w:rsidR="00B5293D">
        <w:t xml:space="preserve">line </w:t>
      </w:r>
      <w:r w:rsidR="00687FE6">
        <w:t xml:space="preserve">may </w:t>
      </w:r>
      <w:r w:rsidR="000B6B7F">
        <w:t xml:space="preserve">exceed the budgeted amount.  </w:t>
      </w:r>
      <w:r w:rsidR="005048D9">
        <w:t xml:space="preserve">The </w:t>
      </w:r>
      <w:r w:rsidR="00A54DAB">
        <w:t>A</w:t>
      </w:r>
      <w:r w:rsidR="005048D9">
        <w:t xml:space="preserve">uthorized </w:t>
      </w:r>
      <w:r w:rsidR="00A54DAB">
        <w:t>M</w:t>
      </w:r>
      <w:r w:rsidR="005048D9">
        <w:t>ember manages Over-Budget expenditures</w:t>
      </w:r>
      <w:r w:rsidR="000B6B7F">
        <w:t xml:space="preserve"> in coordination with the President and Treasurer</w:t>
      </w:r>
      <w:r w:rsidR="005048D9">
        <w:t>.</w:t>
      </w:r>
      <w:bookmarkEnd w:id="9"/>
    </w:p>
    <w:p w14:paraId="1CCA0EE0" w14:textId="3541DC4D" w:rsidR="001E6992" w:rsidRDefault="001E6992" w:rsidP="006478FF">
      <w:pPr>
        <w:pStyle w:val="Heading3"/>
      </w:pPr>
      <w:r>
        <w:t>Contingency</w:t>
      </w:r>
      <w:r w:rsidR="006478FF">
        <w:t xml:space="preserve">:  </w:t>
      </w:r>
      <w:r w:rsidR="00687FE6">
        <w:t xml:space="preserve">Ref C provides for emergency actions.  The </w:t>
      </w:r>
      <w:r w:rsidR="006478FF">
        <w:t xml:space="preserve">Treasurer </w:t>
      </w:r>
      <w:r w:rsidR="00B5293D">
        <w:t>may</w:t>
      </w:r>
      <w:r w:rsidR="006478FF">
        <w:t xml:space="preserve"> </w:t>
      </w:r>
      <w:r w:rsidR="00687FE6">
        <w:t xml:space="preserve">use </w:t>
      </w:r>
      <w:r w:rsidR="006478FF">
        <w:t xml:space="preserve">any available funds to meet </w:t>
      </w:r>
      <w:r w:rsidR="005048D9">
        <w:t>short-term</w:t>
      </w:r>
      <w:r w:rsidR="006478FF">
        <w:t xml:space="preserve"> emergency requirements.</w:t>
      </w:r>
    </w:p>
    <w:p w14:paraId="4B804190" w14:textId="0AD7B742" w:rsidR="00097B7C" w:rsidRDefault="001E6992" w:rsidP="00097B7C">
      <w:pPr>
        <w:pStyle w:val="Heading3"/>
      </w:pPr>
      <w:r>
        <w:t>Reimbursement</w:t>
      </w:r>
      <w:r w:rsidR="006478FF">
        <w:t xml:space="preserve">:  Grange members who use their personal </w:t>
      </w:r>
      <w:r w:rsidR="00752EB7">
        <w:t>money</w:t>
      </w:r>
      <w:r w:rsidR="006478FF">
        <w:t xml:space="preserve"> to pay for </w:t>
      </w:r>
      <w:r w:rsidR="000B6B7F">
        <w:t>Grange</w:t>
      </w:r>
      <w:r w:rsidR="006478FF">
        <w:t xml:space="preserve"> expenses are entitled to prompt reimbursement</w:t>
      </w:r>
      <w:r w:rsidR="00097B7C">
        <w:t xml:space="preserve">.  </w:t>
      </w:r>
      <w:r w:rsidR="00041265">
        <w:t xml:space="preserve">Reimbursement to the Treasurer requires the approval of another Grange Officer.  </w:t>
      </w:r>
      <w:r w:rsidR="00097B7C">
        <w:t>Appendix B</w:t>
      </w:r>
      <w:r w:rsidR="001F613B">
        <w:t xml:space="preserve"> describes the reimbursement process.</w:t>
      </w:r>
    </w:p>
    <w:p w14:paraId="4AEA3F6E" w14:textId="70C87D4A" w:rsidR="001E6992" w:rsidRPr="001E6992" w:rsidRDefault="001E6992" w:rsidP="001E6992">
      <w:pPr>
        <w:pStyle w:val="Heading1"/>
      </w:pPr>
      <w:r>
        <w:t>REPORTING</w:t>
      </w:r>
    </w:p>
    <w:p w14:paraId="722058D0" w14:textId="075889E2" w:rsidR="001E6992" w:rsidRDefault="001E6992" w:rsidP="00097B7C">
      <w:pPr>
        <w:pStyle w:val="Heading2"/>
      </w:pPr>
      <w:r>
        <w:t>Monthly Report</w:t>
      </w:r>
    </w:p>
    <w:p w14:paraId="1305CCDD" w14:textId="34AFE932" w:rsidR="00097B7C" w:rsidRDefault="00097B7C" w:rsidP="001E6992">
      <w:r>
        <w:t>The Treasurer provide</w:t>
      </w:r>
      <w:r w:rsidR="00B5293D">
        <w:t>s</w:t>
      </w:r>
      <w:r>
        <w:t xml:space="preserve"> a monthly report.  A summary report is provided </w:t>
      </w:r>
      <w:r w:rsidR="00041265">
        <w:t xml:space="preserve">to the membership </w:t>
      </w:r>
      <w:r w:rsidR="00422B5A">
        <w:t xml:space="preserve">at </w:t>
      </w:r>
      <w:r>
        <w:t>the regular meeting.</w:t>
      </w:r>
      <w:r w:rsidR="002F4596">
        <w:t xml:space="preserve">  </w:t>
      </w:r>
      <w:r w:rsidR="0001158D">
        <w:t xml:space="preserve">A detailed report is provided to </w:t>
      </w:r>
      <w:r w:rsidR="000B6B7F">
        <w:t>the Executive Board allowing oversight of THG funds</w:t>
      </w:r>
      <w:r w:rsidR="00752EB7">
        <w:t xml:space="preserve"> and accounts</w:t>
      </w:r>
      <w:r w:rsidR="000B6B7F">
        <w:t xml:space="preserve">.  </w:t>
      </w:r>
      <w:r w:rsidR="002F4596">
        <w:t>The detailed report contain</w:t>
      </w:r>
      <w:r w:rsidR="00B5293D">
        <w:t>s</w:t>
      </w:r>
      <w:r w:rsidR="002F4596">
        <w:t>:</w:t>
      </w:r>
    </w:p>
    <w:p w14:paraId="3C9CA97D" w14:textId="60A5049B" w:rsidR="002F4596" w:rsidRDefault="001F613B" w:rsidP="00377C1F">
      <w:pPr>
        <w:pStyle w:val="ListParagraph"/>
        <w:numPr>
          <w:ilvl w:val="0"/>
          <w:numId w:val="16"/>
        </w:numPr>
        <w:spacing w:after="0"/>
      </w:pPr>
      <w:r>
        <w:t>R</w:t>
      </w:r>
      <w:r w:rsidR="002F4596">
        <w:t>eport of activity in each Fund</w:t>
      </w:r>
      <w:r w:rsidR="00041265">
        <w:t>.</w:t>
      </w:r>
    </w:p>
    <w:p w14:paraId="73C5614E" w14:textId="64EE8DED" w:rsidR="002F4596" w:rsidRDefault="001F613B" w:rsidP="00377C1F">
      <w:pPr>
        <w:pStyle w:val="ListParagraph"/>
        <w:numPr>
          <w:ilvl w:val="0"/>
          <w:numId w:val="16"/>
        </w:numPr>
        <w:spacing w:after="0"/>
      </w:pPr>
      <w:r>
        <w:t>D</w:t>
      </w:r>
      <w:r w:rsidR="002F4596">
        <w:t>etailed report of activity in each Grange</w:t>
      </w:r>
      <w:r w:rsidR="004129F3">
        <w:t xml:space="preserve"> </w:t>
      </w:r>
      <w:r w:rsidR="002F4596">
        <w:t xml:space="preserve">account showing </w:t>
      </w:r>
      <w:r w:rsidR="00687FE6">
        <w:t xml:space="preserve">the date of transactions, names of the individuals or organizations to which payments were made, and </w:t>
      </w:r>
      <w:r w:rsidR="002F4596">
        <w:t xml:space="preserve">the </w:t>
      </w:r>
      <w:r w:rsidR="00422B5A">
        <w:t>LIN</w:t>
      </w:r>
      <w:r w:rsidR="002F4596">
        <w:t xml:space="preserve"> to which income was credited </w:t>
      </w:r>
      <w:r w:rsidR="00687FE6">
        <w:t>or</w:t>
      </w:r>
      <w:r w:rsidR="002F4596">
        <w:t xml:space="preserve"> against which expenditures were made.</w:t>
      </w:r>
      <w:r w:rsidR="00687FE6">
        <w:t xml:space="preserve">  (This report looks much like a traditional check register.)</w:t>
      </w:r>
    </w:p>
    <w:p w14:paraId="39D49ED3" w14:textId="0BA8E8B0" w:rsidR="00377C1F" w:rsidRDefault="001F613B" w:rsidP="00377C1F">
      <w:pPr>
        <w:pStyle w:val="ListParagraph"/>
        <w:numPr>
          <w:ilvl w:val="0"/>
          <w:numId w:val="16"/>
        </w:numPr>
        <w:spacing w:after="0"/>
      </w:pPr>
      <w:r>
        <w:t>L</w:t>
      </w:r>
      <w:r w:rsidR="00377C1F">
        <w:t>ine-by-line comparison of the budget and actual income, expenses, and outcome.</w:t>
      </w:r>
    </w:p>
    <w:p w14:paraId="31D8EAD7" w14:textId="2F1954D8" w:rsidR="00377C1F" w:rsidRDefault="00377C1F" w:rsidP="001C38A1">
      <w:r>
        <w:t>The Executive Board may request additional reports.</w:t>
      </w:r>
    </w:p>
    <w:p w14:paraId="5C9C50EA" w14:textId="4963E849" w:rsidR="001E6992" w:rsidRDefault="001E6992" w:rsidP="00377C1F">
      <w:pPr>
        <w:pStyle w:val="Heading2"/>
      </w:pPr>
      <w:r>
        <w:lastRenderedPageBreak/>
        <w:t>Federal Reporting</w:t>
      </w:r>
    </w:p>
    <w:p w14:paraId="541BFD60" w14:textId="06392F06" w:rsidR="00377C1F" w:rsidRDefault="00377C1F" w:rsidP="00377C1F">
      <w:r>
        <w:t>The Treasurer ensure</w:t>
      </w:r>
      <w:r w:rsidR="005270C6">
        <w:t>s</w:t>
      </w:r>
      <w:r>
        <w:t xml:space="preserve"> Federal reporting according to </w:t>
      </w:r>
      <w:r w:rsidR="00AF3671">
        <w:t xml:space="preserve">IRS </w:t>
      </w:r>
      <w:r>
        <w:t xml:space="preserve">requirements </w:t>
      </w:r>
      <w:r w:rsidR="00422B5A">
        <w:t xml:space="preserve">is </w:t>
      </w:r>
      <w:r>
        <w:t xml:space="preserve">completed before the filing deadline.  </w:t>
      </w:r>
      <w:r w:rsidR="00AF3671">
        <w:t>Historically THG has filed IRS form 990-N, “Postcard Return” or 990-EZ, Return of Organization Exempt from Income Tax.</w:t>
      </w:r>
    </w:p>
    <w:p w14:paraId="76263190" w14:textId="666BE423" w:rsidR="001E6992" w:rsidRDefault="001E6992" w:rsidP="00377C1F">
      <w:pPr>
        <w:pStyle w:val="Heading2"/>
      </w:pPr>
      <w:r>
        <w:t>State Reporting</w:t>
      </w:r>
    </w:p>
    <w:p w14:paraId="1C1F0A21" w14:textId="6A72DB13" w:rsidR="00377C1F" w:rsidRDefault="00377C1F" w:rsidP="00377C1F">
      <w:r>
        <w:t>The Treasurer ensure</w:t>
      </w:r>
      <w:r w:rsidR="005270C6">
        <w:t>s</w:t>
      </w:r>
      <w:r>
        <w:t xml:space="preserve"> Illinois State reporting according to </w:t>
      </w:r>
      <w:r w:rsidR="00AF3671">
        <w:t xml:space="preserve">Attorney General and </w:t>
      </w:r>
      <w:r>
        <w:t xml:space="preserve">Secretary of State requirements </w:t>
      </w:r>
      <w:r w:rsidR="00AF3671">
        <w:t>are</w:t>
      </w:r>
      <w:r>
        <w:t xml:space="preserve"> completed before the filing deadline</w:t>
      </w:r>
      <w:r w:rsidR="00171920">
        <w:t>s</w:t>
      </w:r>
      <w:r>
        <w:t xml:space="preserve">.  Fees shall be paid to sustain THG registration with the </w:t>
      </w:r>
      <w:r w:rsidR="00AF3671">
        <w:t xml:space="preserve">Attorney General and </w:t>
      </w:r>
      <w:r>
        <w:t>Secretary of State.</w:t>
      </w:r>
      <w:r w:rsidR="00AF3671">
        <w:t xml:space="preserve">  Historically THG has completed an Illinois Charitable Organization Annual Report, Form AG990-IL.</w:t>
      </w:r>
    </w:p>
    <w:p w14:paraId="7EE0D85E" w14:textId="77777777" w:rsidR="00377C1F" w:rsidRDefault="00377C1F" w:rsidP="00377C1F">
      <w:pPr>
        <w:pStyle w:val="Heading2"/>
      </w:pPr>
      <w:r>
        <w:t>Tax Preparation Service</w:t>
      </w:r>
    </w:p>
    <w:p w14:paraId="59DAEAF3" w14:textId="4648EF51" w:rsidR="00377C1F" w:rsidRPr="00377C1F" w:rsidRDefault="00377C1F" w:rsidP="00377C1F">
      <w:r>
        <w:t xml:space="preserve">With the approval of the Executive Board, the Treasurer may contract with a tax </w:t>
      </w:r>
      <w:r w:rsidR="00AF3671">
        <w:t xml:space="preserve">preparation service </w:t>
      </w:r>
      <w:r>
        <w:t>to complete the IRS</w:t>
      </w:r>
      <w:r w:rsidR="00422B5A">
        <w:t xml:space="preserve"> and Illinois </w:t>
      </w:r>
      <w:r w:rsidR="00AF3671">
        <w:t xml:space="preserve">Attorney General </w:t>
      </w:r>
      <w:r w:rsidR="00422B5A">
        <w:t>reporting</w:t>
      </w:r>
      <w:r>
        <w:t xml:space="preserve"> requirements on behalf of the Grange.</w:t>
      </w:r>
    </w:p>
    <w:p w14:paraId="34DB0218" w14:textId="77777777" w:rsidR="005048D9" w:rsidRDefault="005048D9" w:rsidP="00377C1F">
      <w:pPr>
        <w:sectPr w:rsidR="005048D9" w:rsidSect="00C30378">
          <w:footerReference w:type="default" r:id="rId9"/>
          <w:pgSz w:w="12240" w:h="15840"/>
          <w:pgMar w:top="1440" w:right="1440" w:bottom="1440" w:left="1440" w:header="720" w:footer="720" w:gutter="0"/>
          <w:cols w:space="720"/>
          <w:docGrid w:linePitch="360"/>
        </w:sectPr>
      </w:pPr>
    </w:p>
    <w:p w14:paraId="76168AE2" w14:textId="42B34EE1" w:rsidR="00377C1F" w:rsidRDefault="007E387B" w:rsidP="00CD6D33">
      <w:pPr>
        <w:pStyle w:val="AppendixTitle"/>
      </w:pPr>
      <w:r w:rsidRPr="00CD6D33">
        <w:lastRenderedPageBreak/>
        <w:t>LINE</w:t>
      </w:r>
      <w:r>
        <w:t xml:space="preserve"> ITEM </w:t>
      </w:r>
      <w:r w:rsidR="005B59F7">
        <w:t xml:space="preserve">Number </w:t>
      </w:r>
      <w:r>
        <w:t>EXAMPLES</w:t>
      </w:r>
    </w:p>
    <w:p w14:paraId="05834760" w14:textId="77777777" w:rsidR="00CD6D33" w:rsidRDefault="00CD6D33" w:rsidP="005B59F7"/>
    <w:p w14:paraId="5B0D040D" w14:textId="55950FD4" w:rsidR="00CD6D33" w:rsidRDefault="00CD6D33" w:rsidP="00CD6D33">
      <w:pPr>
        <w:pStyle w:val="Caption"/>
        <w:keepNext/>
      </w:pPr>
      <w:r>
        <w:t>Table A-1 Line Item Examples</w:t>
      </w:r>
    </w:p>
    <w:tbl>
      <w:tblPr>
        <w:tblStyle w:val="TableGrid"/>
        <w:tblW w:w="9117" w:type="dxa"/>
        <w:tblLook w:val="04A0" w:firstRow="1" w:lastRow="0" w:firstColumn="1" w:lastColumn="0" w:noHBand="0" w:noVBand="1"/>
      </w:tblPr>
      <w:tblGrid>
        <w:gridCol w:w="2245"/>
        <w:gridCol w:w="816"/>
        <w:gridCol w:w="2743"/>
        <w:gridCol w:w="3313"/>
      </w:tblGrid>
      <w:tr w:rsidR="00CD6D33" w14:paraId="168D04B5" w14:textId="77777777" w:rsidTr="00041265">
        <w:tc>
          <w:tcPr>
            <w:tcW w:w="2245" w:type="dxa"/>
            <w:shd w:val="clear" w:color="auto" w:fill="F2F2F2" w:themeFill="background1" w:themeFillShade="F2"/>
          </w:tcPr>
          <w:p w14:paraId="17F4F018" w14:textId="47025172" w:rsidR="00CD6D33" w:rsidRPr="005C11A0" w:rsidRDefault="00CD6D33" w:rsidP="00CD6D33">
            <w:pPr>
              <w:rPr>
                <w:b/>
                <w:bCs/>
              </w:rPr>
            </w:pPr>
            <w:r w:rsidRPr="005C11A0">
              <w:rPr>
                <w:b/>
                <w:bCs/>
              </w:rPr>
              <w:t>Level</w:t>
            </w:r>
          </w:p>
        </w:tc>
        <w:tc>
          <w:tcPr>
            <w:tcW w:w="816" w:type="dxa"/>
            <w:shd w:val="clear" w:color="auto" w:fill="F2F2F2" w:themeFill="background1" w:themeFillShade="F2"/>
          </w:tcPr>
          <w:p w14:paraId="2AAB74DA" w14:textId="3E456560" w:rsidR="00CD6D33" w:rsidRPr="005C11A0" w:rsidRDefault="00CD6D33" w:rsidP="00CD6D33">
            <w:pPr>
              <w:rPr>
                <w:b/>
                <w:bCs/>
              </w:rPr>
            </w:pPr>
            <w:r w:rsidRPr="005C11A0">
              <w:rPr>
                <w:b/>
                <w:bCs/>
              </w:rPr>
              <w:t>LIN</w:t>
            </w:r>
          </w:p>
        </w:tc>
        <w:tc>
          <w:tcPr>
            <w:tcW w:w="2743" w:type="dxa"/>
            <w:shd w:val="clear" w:color="auto" w:fill="F2F2F2" w:themeFill="background1" w:themeFillShade="F2"/>
          </w:tcPr>
          <w:p w14:paraId="0EAEA883" w14:textId="1AACE041" w:rsidR="00CD6D33" w:rsidRPr="005C11A0" w:rsidRDefault="00CD6D33" w:rsidP="00CD6D33">
            <w:pPr>
              <w:rPr>
                <w:b/>
                <w:bCs/>
              </w:rPr>
            </w:pPr>
            <w:r w:rsidRPr="005C11A0">
              <w:rPr>
                <w:b/>
                <w:bCs/>
              </w:rPr>
              <w:t>Category</w:t>
            </w:r>
          </w:p>
        </w:tc>
        <w:tc>
          <w:tcPr>
            <w:tcW w:w="3313" w:type="dxa"/>
            <w:shd w:val="clear" w:color="auto" w:fill="F2F2F2" w:themeFill="background1" w:themeFillShade="F2"/>
          </w:tcPr>
          <w:p w14:paraId="5D8370D8" w14:textId="3172C742" w:rsidR="00CD6D33" w:rsidRPr="005C11A0" w:rsidRDefault="00CD6D33" w:rsidP="00CD6D33">
            <w:pPr>
              <w:rPr>
                <w:b/>
                <w:bCs/>
              </w:rPr>
            </w:pPr>
            <w:r w:rsidRPr="005C11A0">
              <w:rPr>
                <w:b/>
                <w:bCs/>
              </w:rPr>
              <w:t>Notes</w:t>
            </w:r>
          </w:p>
        </w:tc>
      </w:tr>
      <w:tr w:rsidR="00CD6D33" w14:paraId="5C8017D5" w14:textId="77777777" w:rsidTr="005B59F7">
        <w:tc>
          <w:tcPr>
            <w:tcW w:w="2245" w:type="dxa"/>
          </w:tcPr>
          <w:p w14:paraId="3AFA5F5B" w14:textId="25D29C0C" w:rsidR="00CD6D33" w:rsidRDefault="00CD6D33" w:rsidP="00CD6D33">
            <w:r>
              <w:t>General Heading</w:t>
            </w:r>
          </w:p>
        </w:tc>
        <w:tc>
          <w:tcPr>
            <w:tcW w:w="816" w:type="dxa"/>
          </w:tcPr>
          <w:p w14:paraId="32290A77" w14:textId="14115CAA" w:rsidR="00CD6D33" w:rsidRDefault="00CD6D33" w:rsidP="00CD6D33">
            <w:r>
              <w:t>1000</w:t>
            </w:r>
          </w:p>
        </w:tc>
        <w:tc>
          <w:tcPr>
            <w:tcW w:w="2743" w:type="dxa"/>
          </w:tcPr>
          <w:p w14:paraId="6B8339FD" w14:textId="30FF096B" w:rsidR="00CD6D33" w:rsidRDefault="005C11A0" w:rsidP="00CD6D33">
            <w:r>
              <w:t>PROJECTS</w:t>
            </w:r>
          </w:p>
        </w:tc>
        <w:tc>
          <w:tcPr>
            <w:tcW w:w="3313" w:type="dxa"/>
          </w:tcPr>
          <w:p w14:paraId="2454990C" w14:textId="2C5BE450" w:rsidR="00CD6D33" w:rsidRDefault="00897F36" w:rsidP="00CD6D33">
            <w:r>
              <w:t xml:space="preserve">Summary </w:t>
            </w:r>
            <w:r w:rsidR="005C11A0">
              <w:t>level of detail</w:t>
            </w:r>
          </w:p>
        </w:tc>
      </w:tr>
      <w:tr w:rsidR="005C11A0" w14:paraId="5EAADB74" w14:textId="77777777" w:rsidTr="005B59F7">
        <w:tc>
          <w:tcPr>
            <w:tcW w:w="2245" w:type="dxa"/>
            <w:vMerge w:val="restart"/>
          </w:tcPr>
          <w:p w14:paraId="391F223E" w14:textId="08D8058E" w:rsidR="005C11A0" w:rsidRDefault="00B5293D" w:rsidP="00CD6D33">
            <w:r>
              <w:t xml:space="preserve">Project, Function, or Program </w:t>
            </w:r>
            <w:r w:rsidR="005C11A0">
              <w:t>Headings</w:t>
            </w:r>
          </w:p>
        </w:tc>
        <w:tc>
          <w:tcPr>
            <w:tcW w:w="816" w:type="dxa"/>
          </w:tcPr>
          <w:p w14:paraId="7A717285" w14:textId="557923B6" w:rsidR="005C11A0" w:rsidRDefault="005C11A0" w:rsidP="00CD6D33">
            <w:r>
              <w:t>1300</w:t>
            </w:r>
          </w:p>
        </w:tc>
        <w:tc>
          <w:tcPr>
            <w:tcW w:w="2743" w:type="dxa"/>
          </w:tcPr>
          <w:p w14:paraId="6D435BE3" w14:textId="7C440848" w:rsidR="005C11A0" w:rsidRDefault="005C11A0" w:rsidP="00CD6D33">
            <w:r>
              <w:t>Ham &amp; Peach Dinner</w:t>
            </w:r>
          </w:p>
        </w:tc>
        <w:tc>
          <w:tcPr>
            <w:tcW w:w="3313" w:type="dxa"/>
            <w:vMerge w:val="restart"/>
          </w:tcPr>
          <w:p w14:paraId="4C29122B" w14:textId="4112E677" w:rsidR="005C11A0" w:rsidRDefault="005B59F7" w:rsidP="00CD6D33">
            <w:r>
              <w:t>C</w:t>
            </w:r>
            <w:r w:rsidR="005C11A0">
              <w:t>ategory for specific event, operational function, or program</w:t>
            </w:r>
          </w:p>
        </w:tc>
      </w:tr>
      <w:tr w:rsidR="005C11A0" w14:paraId="226F23C4" w14:textId="77777777" w:rsidTr="005B59F7">
        <w:tc>
          <w:tcPr>
            <w:tcW w:w="2245" w:type="dxa"/>
            <w:vMerge/>
          </w:tcPr>
          <w:p w14:paraId="5BB1D731" w14:textId="77777777" w:rsidR="005C11A0" w:rsidRDefault="005C11A0" w:rsidP="00CD6D33"/>
        </w:tc>
        <w:tc>
          <w:tcPr>
            <w:tcW w:w="816" w:type="dxa"/>
          </w:tcPr>
          <w:p w14:paraId="50995BC6" w14:textId="7D922F02" w:rsidR="005C11A0" w:rsidRDefault="005C11A0" w:rsidP="00CD6D33">
            <w:r>
              <w:t>3100</w:t>
            </w:r>
          </w:p>
        </w:tc>
        <w:tc>
          <w:tcPr>
            <w:tcW w:w="2743" w:type="dxa"/>
          </w:tcPr>
          <w:p w14:paraId="2662A721" w14:textId="7C2E8EE1" w:rsidR="005C11A0" w:rsidRDefault="005C11A0" w:rsidP="00CD6D33">
            <w:r>
              <w:t>Building</w:t>
            </w:r>
          </w:p>
        </w:tc>
        <w:tc>
          <w:tcPr>
            <w:tcW w:w="3313" w:type="dxa"/>
            <w:vMerge/>
          </w:tcPr>
          <w:p w14:paraId="31B25B8E" w14:textId="77777777" w:rsidR="005C11A0" w:rsidRDefault="005C11A0" w:rsidP="00CD6D33"/>
        </w:tc>
      </w:tr>
      <w:tr w:rsidR="005B59F7" w14:paraId="31558BB3" w14:textId="77777777" w:rsidTr="005B59F7">
        <w:tc>
          <w:tcPr>
            <w:tcW w:w="2245" w:type="dxa"/>
            <w:vMerge w:val="restart"/>
          </w:tcPr>
          <w:p w14:paraId="5DB2D868" w14:textId="2FDF10AB" w:rsidR="005B59F7" w:rsidRDefault="005B59F7" w:rsidP="00CD6D33">
            <w:r>
              <w:t>Detail Headings</w:t>
            </w:r>
          </w:p>
        </w:tc>
        <w:tc>
          <w:tcPr>
            <w:tcW w:w="816" w:type="dxa"/>
          </w:tcPr>
          <w:p w14:paraId="312505E4" w14:textId="5C22B9BC" w:rsidR="005B59F7" w:rsidRDefault="005B59F7" w:rsidP="00CD6D33">
            <w:r>
              <w:t>3220</w:t>
            </w:r>
          </w:p>
        </w:tc>
        <w:tc>
          <w:tcPr>
            <w:tcW w:w="2743" w:type="dxa"/>
          </w:tcPr>
          <w:p w14:paraId="745FDC2F" w14:textId="6080BB8E" w:rsidR="005B59F7" w:rsidRDefault="005B59F7" w:rsidP="00CD6D33">
            <w:r>
              <w:t>Safety &amp; Fire Prevention</w:t>
            </w:r>
          </w:p>
        </w:tc>
        <w:tc>
          <w:tcPr>
            <w:tcW w:w="3313" w:type="dxa"/>
            <w:vMerge w:val="restart"/>
          </w:tcPr>
          <w:p w14:paraId="1C8EE78B" w14:textId="2D77C190" w:rsidR="005B59F7" w:rsidRDefault="005B59F7" w:rsidP="00CD6D33">
            <w:r>
              <w:t>Subcategory provide</w:t>
            </w:r>
            <w:r w:rsidR="00EF2282">
              <w:t>s</w:t>
            </w:r>
            <w:r>
              <w:t xml:space="preserve"> additional detail</w:t>
            </w:r>
          </w:p>
        </w:tc>
      </w:tr>
      <w:tr w:rsidR="005B59F7" w14:paraId="6EA68B93" w14:textId="77777777" w:rsidTr="005B59F7">
        <w:tc>
          <w:tcPr>
            <w:tcW w:w="2245" w:type="dxa"/>
            <w:vMerge/>
          </w:tcPr>
          <w:p w14:paraId="2EA4FF01" w14:textId="77777777" w:rsidR="005B59F7" w:rsidRDefault="005B59F7" w:rsidP="00CD6D33"/>
        </w:tc>
        <w:tc>
          <w:tcPr>
            <w:tcW w:w="816" w:type="dxa"/>
          </w:tcPr>
          <w:p w14:paraId="0AD7975E" w14:textId="51974CB6" w:rsidR="005B59F7" w:rsidRDefault="005B59F7" w:rsidP="00CD6D33">
            <w:r>
              <w:t>3140</w:t>
            </w:r>
          </w:p>
        </w:tc>
        <w:tc>
          <w:tcPr>
            <w:tcW w:w="2743" w:type="dxa"/>
          </w:tcPr>
          <w:p w14:paraId="0BD6A800" w14:textId="07D601ED" w:rsidR="005B59F7" w:rsidRDefault="005B59F7" w:rsidP="00CD6D33">
            <w:r>
              <w:t>Equipment &amp; Furnishings</w:t>
            </w:r>
          </w:p>
        </w:tc>
        <w:tc>
          <w:tcPr>
            <w:tcW w:w="3313" w:type="dxa"/>
            <w:vMerge/>
          </w:tcPr>
          <w:p w14:paraId="44F7B9FA" w14:textId="77777777" w:rsidR="005B59F7" w:rsidRDefault="005B59F7" w:rsidP="00CD6D33"/>
        </w:tc>
      </w:tr>
      <w:tr w:rsidR="005B59F7" w14:paraId="4AC4C377" w14:textId="77777777" w:rsidTr="005B59F7">
        <w:tc>
          <w:tcPr>
            <w:tcW w:w="2245" w:type="dxa"/>
          </w:tcPr>
          <w:p w14:paraId="251079EC" w14:textId="64DA1231" w:rsidR="005B59F7" w:rsidRDefault="005B59F7" w:rsidP="00CD6D33">
            <w:r>
              <w:t>Detail Sub-Heading</w:t>
            </w:r>
          </w:p>
        </w:tc>
        <w:tc>
          <w:tcPr>
            <w:tcW w:w="816" w:type="dxa"/>
          </w:tcPr>
          <w:p w14:paraId="04222708" w14:textId="5E77363A" w:rsidR="005B59F7" w:rsidRDefault="005B59F7" w:rsidP="00CD6D33">
            <w:r>
              <w:t>3141</w:t>
            </w:r>
          </w:p>
        </w:tc>
        <w:tc>
          <w:tcPr>
            <w:tcW w:w="2743" w:type="dxa"/>
          </w:tcPr>
          <w:p w14:paraId="2D401EA5" w14:textId="7CC0A54B" w:rsidR="005B59F7" w:rsidRDefault="005B59F7" w:rsidP="00CD6D33">
            <w:r>
              <w:t>Sound System</w:t>
            </w:r>
          </w:p>
        </w:tc>
        <w:tc>
          <w:tcPr>
            <w:tcW w:w="3313" w:type="dxa"/>
          </w:tcPr>
          <w:p w14:paraId="0FE47763" w14:textId="3915F081" w:rsidR="005B59F7" w:rsidRDefault="005B59F7" w:rsidP="00CD6D33">
            <w:r>
              <w:t xml:space="preserve">Additional Subcategory for very detailed </w:t>
            </w:r>
            <w:r w:rsidR="00B5293D">
              <w:t>reporting</w:t>
            </w:r>
          </w:p>
        </w:tc>
      </w:tr>
    </w:tbl>
    <w:p w14:paraId="7195D7B2" w14:textId="77777777" w:rsidR="00CD6D33" w:rsidRDefault="00CD6D33" w:rsidP="00CD6D33"/>
    <w:p w14:paraId="4F2894B2" w14:textId="77EE58EE" w:rsidR="005B59F7" w:rsidRDefault="005B59F7" w:rsidP="00CD6D33">
      <w:r>
        <w:t>The Treasurer develops and follows a system of Line Item Numbers (LIN) to help manage funds.  “Authorized Members” use LINs to help manage the projects, functional areas, and programs for which they are responsible.</w:t>
      </w:r>
    </w:p>
    <w:p w14:paraId="182DCBF3" w14:textId="77777777" w:rsidR="00041265" w:rsidRDefault="00041265" w:rsidP="00CD6D33"/>
    <w:p w14:paraId="40FB8107" w14:textId="77777777" w:rsidR="005B59F7" w:rsidRDefault="005B59F7" w:rsidP="00CD6D33">
      <w:pPr>
        <w:sectPr w:rsidR="005B59F7" w:rsidSect="00C30378">
          <w:footerReference w:type="default" r:id="rId10"/>
          <w:pgSz w:w="12240" w:h="15840"/>
          <w:pgMar w:top="1440" w:right="1440" w:bottom="1440" w:left="1440" w:header="720" w:footer="720" w:gutter="0"/>
          <w:pgNumType w:start="1"/>
          <w:cols w:space="720"/>
          <w:docGrid w:linePitch="360"/>
        </w:sectPr>
      </w:pPr>
    </w:p>
    <w:p w14:paraId="7C3CBBBF" w14:textId="271D07ED" w:rsidR="005B59F7" w:rsidRDefault="005B59F7" w:rsidP="005B59F7">
      <w:pPr>
        <w:pStyle w:val="AppendixTitle"/>
      </w:pPr>
      <w:r>
        <w:lastRenderedPageBreak/>
        <w:t>reimbursement</w:t>
      </w:r>
    </w:p>
    <w:p w14:paraId="6C3D1586" w14:textId="39B76546" w:rsidR="002F679A" w:rsidRDefault="00FD0A3C" w:rsidP="002F679A">
      <w:r>
        <w:t xml:space="preserve">Grange members may use personal </w:t>
      </w:r>
      <w:r w:rsidR="005270C6">
        <w:t>money t</w:t>
      </w:r>
      <w:r>
        <w:t xml:space="preserve">o pay for goods and services for THG.  Such obligations normally are made as part of a specific project, operating function, or program.  </w:t>
      </w:r>
      <w:r w:rsidR="002F679A">
        <w:t xml:space="preserve">The reimbursement process is designed to provide prompt and accurate </w:t>
      </w:r>
      <w:r>
        <w:t>payment, see</w:t>
      </w:r>
      <w:r w:rsidR="00687FE6">
        <w:t xml:space="preserve"> Figure B-1</w:t>
      </w:r>
      <w:r>
        <w:t>.</w:t>
      </w:r>
    </w:p>
    <w:p w14:paraId="7A2849B3" w14:textId="77777777" w:rsidR="00FD0A3C" w:rsidRDefault="00FD0A3C" w:rsidP="002F679A"/>
    <w:p w14:paraId="6CF1277D" w14:textId="490A74FF" w:rsidR="00FD0A3C" w:rsidRDefault="003B36F3" w:rsidP="00FD0A3C">
      <w:pPr>
        <w:keepNext/>
      </w:pPr>
      <w:r>
        <w:rPr>
          <w:noProof/>
        </w:rPr>
        <w:drawing>
          <wp:inline distT="0" distB="0" distL="0" distR="0" wp14:anchorId="3137372D" wp14:editId="44F9D140">
            <wp:extent cx="5943600" cy="4505325"/>
            <wp:effectExtent l="19050" t="19050" r="19050" b="28575"/>
            <wp:docPr id="1687217502" name="Picture 3"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217502" name="Picture 3" descr="A diagram of a flow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05325"/>
                    </a:xfrm>
                    <a:prstGeom prst="rect">
                      <a:avLst/>
                    </a:prstGeom>
                    <a:ln w="12700">
                      <a:solidFill>
                        <a:schemeClr val="tx1"/>
                      </a:solidFill>
                    </a:ln>
                  </pic:spPr>
                </pic:pic>
              </a:graphicData>
            </a:graphic>
          </wp:inline>
        </w:drawing>
      </w:r>
    </w:p>
    <w:p w14:paraId="726234B9" w14:textId="78A293A4" w:rsidR="00D8307B" w:rsidRDefault="00FD0A3C" w:rsidP="00FD0A3C">
      <w:pPr>
        <w:pStyle w:val="Caption"/>
      </w:pPr>
      <w:bookmarkStart w:id="10" w:name="_Ref152081649"/>
      <w:r>
        <w:t>Figure</w:t>
      </w:r>
      <w:r w:rsidR="00687FE6">
        <w:t xml:space="preserve"> B-1</w:t>
      </w:r>
      <w:r>
        <w:t>.  Reimbursement Process</w:t>
      </w:r>
      <w:bookmarkEnd w:id="10"/>
    </w:p>
    <w:p w14:paraId="6C67D2A3" w14:textId="61BBFE47" w:rsidR="00480D28" w:rsidRPr="00480D28" w:rsidRDefault="00480D28" w:rsidP="00076194">
      <w:pPr>
        <w:jc w:val="center"/>
        <w:rPr>
          <w:b/>
          <w:bCs/>
        </w:rPr>
      </w:pPr>
      <w:r w:rsidRPr="00480D28">
        <w:rPr>
          <w:b/>
          <w:bCs/>
        </w:rPr>
        <w:t>Notes</w:t>
      </w:r>
    </w:p>
    <w:p w14:paraId="4C281433" w14:textId="0A819E41" w:rsidR="00480D28" w:rsidRDefault="00480D28" w:rsidP="00480D28">
      <w:pPr>
        <w:pStyle w:val="ListParagraph"/>
        <w:numPr>
          <w:ilvl w:val="0"/>
          <w:numId w:val="25"/>
        </w:numPr>
        <w:pBdr>
          <w:top w:val="single" w:sz="4" w:space="1" w:color="auto"/>
          <w:left w:val="single" w:sz="4" w:space="4" w:color="auto"/>
          <w:bottom w:val="single" w:sz="4" w:space="1" w:color="auto"/>
          <w:right w:val="single" w:sz="4" w:space="4" w:color="auto"/>
        </w:pBdr>
      </w:pPr>
      <w:r>
        <w:t>Expense voucher:  Treasurer develops an expense voucher and makes it available to THG Members in paper and electronic format.  Members may send the expense voucher to the Treasurer by email, USPS mail, or placing a paper voucher in a designated location in the Grange building.</w:t>
      </w:r>
      <w:r w:rsidR="00076194">
        <w:t xml:space="preserve">  If a receipt or invoice is not available, the Grange Member may write a short explanation and attach it to the expense voucher.</w:t>
      </w:r>
    </w:p>
    <w:p w14:paraId="1C87A696" w14:textId="663AD8AB" w:rsidR="00076194" w:rsidRDefault="00076194" w:rsidP="00480D28">
      <w:pPr>
        <w:pStyle w:val="ListParagraph"/>
        <w:numPr>
          <w:ilvl w:val="0"/>
          <w:numId w:val="25"/>
        </w:numPr>
        <w:pBdr>
          <w:top w:val="single" w:sz="4" w:space="1" w:color="auto"/>
          <w:left w:val="single" w:sz="4" w:space="4" w:color="auto"/>
          <w:bottom w:val="single" w:sz="4" w:space="1" w:color="auto"/>
          <w:right w:val="single" w:sz="4" w:space="4" w:color="auto"/>
        </w:pBdr>
      </w:pPr>
      <w:r>
        <w:t xml:space="preserve">Authorized Members are explained in paragraph </w:t>
      </w:r>
      <w:r>
        <w:fldChar w:fldCharType="begin"/>
      </w:r>
      <w:r>
        <w:instrText xml:space="preserve"> REF _Ref154482880 \r \h </w:instrText>
      </w:r>
      <w:r>
        <w:fldChar w:fldCharType="separate"/>
      </w:r>
      <w:r w:rsidR="00F95A92">
        <w:t>9.1</w:t>
      </w:r>
      <w:r>
        <w:fldChar w:fldCharType="end"/>
      </w:r>
    </w:p>
    <w:p w14:paraId="7C76DE48" w14:textId="632F9988" w:rsidR="00FD0A3C" w:rsidRPr="00FD0A3C" w:rsidRDefault="00FD0A3C" w:rsidP="00480D28">
      <w:pPr>
        <w:pStyle w:val="ListParagraph"/>
        <w:numPr>
          <w:ilvl w:val="0"/>
          <w:numId w:val="25"/>
        </w:numPr>
        <w:pBdr>
          <w:top w:val="single" w:sz="4" w:space="1" w:color="auto"/>
          <w:left w:val="single" w:sz="4" w:space="4" w:color="auto"/>
          <w:bottom w:val="single" w:sz="4" w:space="1" w:color="auto"/>
          <w:right w:val="single" w:sz="4" w:space="4" w:color="auto"/>
        </w:pBdr>
      </w:pPr>
      <w:r>
        <w:t xml:space="preserve">Off-Budget expenses are explained in paragraph </w:t>
      </w:r>
      <w:r>
        <w:fldChar w:fldCharType="begin"/>
      </w:r>
      <w:r>
        <w:instrText xml:space="preserve"> REF _Ref152081902 \n \h </w:instrText>
      </w:r>
      <w:r w:rsidR="00480D28">
        <w:instrText xml:space="preserve"> \* MERGEFORMAT </w:instrText>
      </w:r>
      <w:r>
        <w:fldChar w:fldCharType="separate"/>
      </w:r>
      <w:r w:rsidR="00F95A92">
        <w:t>9.1.2</w:t>
      </w:r>
      <w:r>
        <w:fldChar w:fldCharType="end"/>
      </w:r>
      <w:r>
        <w:t xml:space="preserve">.  Over-Budget expenses are explained in paragraph </w:t>
      </w:r>
      <w:r>
        <w:fldChar w:fldCharType="begin"/>
      </w:r>
      <w:r>
        <w:instrText xml:space="preserve"> REF _Ref152081956 \n \h </w:instrText>
      </w:r>
      <w:r w:rsidR="00480D28">
        <w:instrText xml:space="preserve"> \* MERGEFORMAT </w:instrText>
      </w:r>
      <w:r>
        <w:fldChar w:fldCharType="separate"/>
      </w:r>
      <w:r w:rsidR="00F95A92">
        <w:t>9.1.3</w:t>
      </w:r>
      <w:r>
        <w:fldChar w:fldCharType="end"/>
      </w:r>
      <w:r>
        <w:t>.</w:t>
      </w:r>
    </w:p>
    <w:sectPr w:rsidR="00FD0A3C" w:rsidRPr="00FD0A3C" w:rsidSect="00C30378">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B5A1" w14:textId="77777777" w:rsidR="00C30378" w:rsidRDefault="00C30378" w:rsidP="00366ECF">
      <w:pPr>
        <w:spacing w:after="0"/>
      </w:pPr>
      <w:r>
        <w:separator/>
      </w:r>
    </w:p>
  </w:endnote>
  <w:endnote w:type="continuationSeparator" w:id="0">
    <w:p w14:paraId="7BF25211" w14:textId="77777777" w:rsidR="00C30378" w:rsidRDefault="00C30378" w:rsidP="00366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159"/>
      <w:docPartObj>
        <w:docPartGallery w:val="Page Numbers (Bottom of Page)"/>
        <w:docPartUnique/>
      </w:docPartObj>
    </w:sdtPr>
    <w:sdtEndPr>
      <w:rPr>
        <w:noProof/>
      </w:rPr>
    </w:sdtEndPr>
    <w:sdtContent>
      <w:p w14:paraId="0C5E875C" w14:textId="1205232B" w:rsidR="00366ECF" w:rsidRDefault="00366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B4F4B" w14:textId="77777777" w:rsidR="00366ECF" w:rsidRDefault="00366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92"/>
      <w:docPartObj>
        <w:docPartGallery w:val="Page Numbers (Bottom of Page)"/>
        <w:docPartUnique/>
      </w:docPartObj>
    </w:sdtPr>
    <w:sdtEndPr>
      <w:rPr>
        <w:noProof/>
      </w:rPr>
    </w:sdtEndPr>
    <w:sdtContent>
      <w:p w14:paraId="14C36C46" w14:textId="78BADA28" w:rsidR="00041265" w:rsidRDefault="009257C9">
        <w:pPr>
          <w:pStyle w:val="Footer"/>
          <w:jc w:val="center"/>
        </w:pPr>
        <w:r>
          <w:t>A</w:t>
        </w:r>
        <w:r w:rsidR="00041265">
          <w:t>-</w:t>
        </w:r>
        <w:r w:rsidR="00041265">
          <w:fldChar w:fldCharType="begin"/>
        </w:r>
        <w:r w:rsidR="00041265">
          <w:instrText xml:space="preserve"> PAGE   \* MERGEFORMAT </w:instrText>
        </w:r>
        <w:r w:rsidR="00041265">
          <w:fldChar w:fldCharType="separate"/>
        </w:r>
        <w:r w:rsidR="00041265">
          <w:rPr>
            <w:noProof/>
          </w:rPr>
          <w:t>2</w:t>
        </w:r>
        <w:r w:rsidR="00041265">
          <w:rPr>
            <w:noProof/>
          </w:rPr>
          <w:fldChar w:fldCharType="end"/>
        </w:r>
      </w:p>
    </w:sdtContent>
  </w:sdt>
  <w:p w14:paraId="281D8795" w14:textId="77777777" w:rsidR="00041265" w:rsidRDefault="00041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06518"/>
      <w:docPartObj>
        <w:docPartGallery w:val="Page Numbers (Bottom of Page)"/>
        <w:docPartUnique/>
      </w:docPartObj>
    </w:sdtPr>
    <w:sdtEndPr>
      <w:rPr>
        <w:noProof/>
      </w:rPr>
    </w:sdtEndPr>
    <w:sdtContent>
      <w:p w14:paraId="70092DBB" w14:textId="77777777" w:rsidR="009257C9" w:rsidRDefault="009257C9">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2B2C6489" w14:textId="77777777" w:rsidR="009257C9" w:rsidRDefault="0092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1067" w14:textId="77777777" w:rsidR="00C30378" w:rsidRDefault="00C30378" w:rsidP="00366ECF">
      <w:pPr>
        <w:spacing w:after="0"/>
      </w:pPr>
      <w:r>
        <w:separator/>
      </w:r>
    </w:p>
  </w:footnote>
  <w:footnote w:type="continuationSeparator" w:id="0">
    <w:p w14:paraId="2EF36D5E" w14:textId="77777777" w:rsidR="00C30378" w:rsidRDefault="00C30378" w:rsidP="00366ECF">
      <w:pPr>
        <w:spacing w:after="0"/>
      </w:pPr>
      <w:r>
        <w:continuationSeparator/>
      </w:r>
    </w:p>
  </w:footnote>
  <w:footnote w:id="1">
    <w:p w14:paraId="405B33B0" w14:textId="51CA0C4E" w:rsidR="00D4665B" w:rsidRDefault="00D4665B">
      <w:pPr>
        <w:pStyle w:val="FootnoteText"/>
      </w:pPr>
      <w:r>
        <w:rPr>
          <w:rStyle w:val="FootnoteReference"/>
        </w:rPr>
        <w:footnoteRef/>
      </w:r>
      <w:r>
        <w:t xml:space="preserve"> Executive Board adopted January 9,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6CC5F6"/>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4AD0997"/>
    <w:multiLevelType w:val="hybridMultilevel"/>
    <w:tmpl w:val="8A9287B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8358C"/>
    <w:multiLevelType w:val="hybridMultilevel"/>
    <w:tmpl w:val="8A569100"/>
    <w:lvl w:ilvl="0" w:tplc="5F1C42D4">
      <w:start w:val="1"/>
      <w:numFmt w:val="decimal"/>
      <w:pStyle w:val="AppendixHeading1"/>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50E4"/>
    <w:multiLevelType w:val="multilevel"/>
    <w:tmpl w:val="34E21908"/>
    <w:lvl w:ilvl="0">
      <w:start w:val="1"/>
      <w:numFmt w:val="decimal"/>
      <w:lvlText w:val="%1."/>
      <w:lvlJc w:val="left"/>
      <w:pPr>
        <w:ind w:left="720" w:hanging="360"/>
      </w:pPr>
    </w:lvl>
    <w:lvl w:ilvl="1">
      <w:start w:val="1"/>
      <w:numFmt w:val="decimal"/>
      <w:lvlText w:val="%1.%2."/>
      <w:lvlJc w:val="left"/>
      <w:pPr>
        <w:ind w:left="88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364FE3"/>
    <w:multiLevelType w:val="hybridMultilevel"/>
    <w:tmpl w:val="FA8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0BE7"/>
    <w:multiLevelType w:val="hybridMultilevel"/>
    <w:tmpl w:val="D774F61A"/>
    <w:lvl w:ilvl="0" w:tplc="13EEEB0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1813333E"/>
    <w:multiLevelType w:val="hybridMultilevel"/>
    <w:tmpl w:val="3F20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3278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C2F7F27"/>
    <w:multiLevelType w:val="hybridMultilevel"/>
    <w:tmpl w:val="8ABC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B1D2F"/>
    <w:multiLevelType w:val="hybridMultilevel"/>
    <w:tmpl w:val="7E7A8172"/>
    <w:lvl w:ilvl="0" w:tplc="BE64807A">
      <w:start w:val="1"/>
      <w:numFmt w:val="bullet"/>
      <w:pStyle w:val="ListParagraph2"/>
      <w:lvlText w:val=""/>
      <w:lvlJc w:val="left"/>
      <w:pPr>
        <w:ind w:left="720"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15:restartNumberingAfterBreak="0">
    <w:nsid w:val="461A20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6CF2451"/>
    <w:multiLevelType w:val="hybridMultilevel"/>
    <w:tmpl w:val="ED187172"/>
    <w:lvl w:ilvl="0" w:tplc="CCA209BA">
      <w:start w:val="1"/>
      <w:numFmt w:val="upperLetter"/>
      <w:pStyle w:val="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91FE3"/>
    <w:multiLevelType w:val="hybridMultilevel"/>
    <w:tmpl w:val="0956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F25A6"/>
    <w:multiLevelType w:val="hybridMultilevel"/>
    <w:tmpl w:val="38767FDC"/>
    <w:lvl w:ilvl="0" w:tplc="92B24406">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13AC9"/>
    <w:multiLevelType w:val="hybridMultilevel"/>
    <w:tmpl w:val="B57C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67092"/>
    <w:multiLevelType w:val="hybridMultilevel"/>
    <w:tmpl w:val="A88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21E9A"/>
    <w:multiLevelType w:val="multilevel"/>
    <w:tmpl w:val="533A5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FB4C7A"/>
    <w:multiLevelType w:val="hybridMultilevel"/>
    <w:tmpl w:val="1706B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0599E"/>
    <w:multiLevelType w:val="hybridMultilevel"/>
    <w:tmpl w:val="59322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984854">
    <w:abstractNumId w:val="9"/>
  </w:num>
  <w:num w:numId="2" w16cid:durableId="237372994">
    <w:abstractNumId w:val="0"/>
  </w:num>
  <w:num w:numId="3" w16cid:durableId="1208371394">
    <w:abstractNumId w:val="0"/>
  </w:num>
  <w:num w:numId="4" w16cid:durableId="693770492">
    <w:abstractNumId w:val="6"/>
  </w:num>
  <w:num w:numId="5" w16cid:durableId="2003973041">
    <w:abstractNumId w:val="16"/>
  </w:num>
  <w:num w:numId="6" w16cid:durableId="24209865">
    <w:abstractNumId w:val="17"/>
  </w:num>
  <w:num w:numId="7" w16cid:durableId="258801761">
    <w:abstractNumId w:val="18"/>
  </w:num>
  <w:num w:numId="8" w16cid:durableId="1733846913">
    <w:abstractNumId w:val="5"/>
  </w:num>
  <w:num w:numId="9" w16cid:durableId="1082680773">
    <w:abstractNumId w:val="3"/>
  </w:num>
  <w:num w:numId="10" w16cid:durableId="1136221139">
    <w:abstractNumId w:val="16"/>
  </w:num>
  <w:num w:numId="11" w16cid:durableId="1802992566">
    <w:abstractNumId w:val="3"/>
  </w:num>
  <w:num w:numId="12" w16cid:durableId="959149311">
    <w:abstractNumId w:val="7"/>
  </w:num>
  <w:num w:numId="13" w16cid:durableId="1510103614">
    <w:abstractNumId w:val="10"/>
  </w:num>
  <w:num w:numId="14" w16cid:durableId="1444376713">
    <w:abstractNumId w:val="10"/>
  </w:num>
  <w:num w:numId="15" w16cid:durableId="1765220929">
    <w:abstractNumId w:val="10"/>
  </w:num>
  <w:num w:numId="16" w16cid:durableId="1125195366">
    <w:abstractNumId w:val="15"/>
  </w:num>
  <w:num w:numId="17" w16cid:durableId="778187890">
    <w:abstractNumId w:val="10"/>
  </w:num>
  <w:num w:numId="18" w16cid:durableId="795946105">
    <w:abstractNumId w:val="11"/>
  </w:num>
  <w:num w:numId="19" w16cid:durableId="578054177">
    <w:abstractNumId w:val="2"/>
  </w:num>
  <w:num w:numId="20" w16cid:durableId="703598667">
    <w:abstractNumId w:val="1"/>
  </w:num>
  <w:num w:numId="21" w16cid:durableId="2135249096">
    <w:abstractNumId w:val="13"/>
  </w:num>
  <w:num w:numId="22" w16cid:durableId="91904955">
    <w:abstractNumId w:val="14"/>
  </w:num>
  <w:num w:numId="23" w16cid:durableId="619386197">
    <w:abstractNumId w:val="8"/>
  </w:num>
  <w:num w:numId="24" w16cid:durableId="2054378156">
    <w:abstractNumId w:val="12"/>
  </w:num>
  <w:num w:numId="25" w16cid:durableId="87193998">
    <w:abstractNumId w:val="4"/>
  </w:num>
  <w:num w:numId="26" w16cid:durableId="1640956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6A"/>
    <w:rsid w:val="0001158D"/>
    <w:rsid w:val="000165E4"/>
    <w:rsid w:val="0003186A"/>
    <w:rsid w:val="00041265"/>
    <w:rsid w:val="00056196"/>
    <w:rsid w:val="00076194"/>
    <w:rsid w:val="00091A49"/>
    <w:rsid w:val="00097B7C"/>
    <w:rsid w:val="000B29AF"/>
    <w:rsid w:val="000B6B7F"/>
    <w:rsid w:val="000C116C"/>
    <w:rsid w:val="000E490A"/>
    <w:rsid w:val="001003D3"/>
    <w:rsid w:val="00171920"/>
    <w:rsid w:val="00175629"/>
    <w:rsid w:val="001C38A1"/>
    <w:rsid w:val="001C444F"/>
    <w:rsid w:val="001E6992"/>
    <w:rsid w:val="001F613B"/>
    <w:rsid w:val="00252494"/>
    <w:rsid w:val="0028533B"/>
    <w:rsid w:val="00294ACF"/>
    <w:rsid w:val="002A0448"/>
    <w:rsid w:val="002A149B"/>
    <w:rsid w:val="002F4596"/>
    <w:rsid w:val="002F679A"/>
    <w:rsid w:val="00335127"/>
    <w:rsid w:val="00365522"/>
    <w:rsid w:val="00366ECF"/>
    <w:rsid w:val="00377C1F"/>
    <w:rsid w:val="0039099B"/>
    <w:rsid w:val="003B36F3"/>
    <w:rsid w:val="004129F3"/>
    <w:rsid w:val="00422B5A"/>
    <w:rsid w:val="004355B1"/>
    <w:rsid w:val="00470932"/>
    <w:rsid w:val="00475B7C"/>
    <w:rsid w:val="00480D28"/>
    <w:rsid w:val="004C7146"/>
    <w:rsid w:val="005048D9"/>
    <w:rsid w:val="005270C6"/>
    <w:rsid w:val="0053234E"/>
    <w:rsid w:val="00583341"/>
    <w:rsid w:val="005A6F8E"/>
    <w:rsid w:val="005B59F7"/>
    <w:rsid w:val="005C11A0"/>
    <w:rsid w:val="005C42EA"/>
    <w:rsid w:val="00600797"/>
    <w:rsid w:val="00607B0C"/>
    <w:rsid w:val="006105FA"/>
    <w:rsid w:val="0064479E"/>
    <w:rsid w:val="006478FF"/>
    <w:rsid w:val="00687FE6"/>
    <w:rsid w:val="006B6AA9"/>
    <w:rsid w:val="006B7447"/>
    <w:rsid w:val="006E3CF1"/>
    <w:rsid w:val="00701A83"/>
    <w:rsid w:val="007425D9"/>
    <w:rsid w:val="00747E91"/>
    <w:rsid w:val="00752EB7"/>
    <w:rsid w:val="0078190A"/>
    <w:rsid w:val="007A3196"/>
    <w:rsid w:val="007A71EB"/>
    <w:rsid w:val="007E35A4"/>
    <w:rsid w:val="007E387B"/>
    <w:rsid w:val="007F0C5C"/>
    <w:rsid w:val="007F16E0"/>
    <w:rsid w:val="007F5F63"/>
    <w:rsid w:val="008711C2"/>
    <w:rsid w:val="00897F36"/>
    <w:rsid w:val="008B00C6"/>
    <w:rsid w:val="008B16FD"/>
    <w:rsid w:val="008E7BB3"/>
    <w:rsid w:val="0090055A"/>
    <w:rsid w:val="009257C9"/>
    <w:rsid w:val="00957902"/>
    <w:rsid w:val="00997B39"/>
    <w:rsid w:val="009C2AB8"/>
    <w:rsid w:val="00A261D5"/>
    <w:rsid w:val="00A54DAB"/>
    <w:rsid w:val="00A63DC1"/>
    <w:rsid w:val="00A6796F"/>
    <w:rsid w:val="00A72EA0"/>
    <w:rsid w:val="00A8692A"/>
    <w:rsid w:val="00A976AD"/>
    <w:rsid w:val="00AC3EE1"/>
    <w:rsid w:val="00AE25FC"/>
    <w:rsid w:val="00AE7766"/>
    <w:rsid w:val="00AF3671"/>
    <w:rsid w:val="00B5293D"/>
    <w:rsid w:val="00B52F70"/>
    <w:rsid w:val="00B52FC2"/>
    <w:rsid w:val="00B95107"/>
    <w:rsid w:val="00BA5FCB"/>
    <w:rsid w:val="00BB26AA"/>
    <w:rsid w:val="00BB6DF8"/>
    <w:rsid w:val="00C163EE"/>
    <w:rsid w:val="00C30378"/>
    <w:rsid w:val="00C708F5"/>
    <w:rsid w:val="00C80C8C"/>
    <w:rsid w:val="00CB2600"/>
    <w:rsid w:val="00CD6D33"/>
    <w:rsid w:val="00D36EA4"/>
    <w:rsid w:val="00D43C74"/>
    <w:rsid w:val="00D4665B"/>
    <w:rsid w:val="00D47174"/>
    <w:rsid w:val="00D8307B"/>
    <w:rsid w:val="00DA49EE"/>
    <w:rsid w:val="00DD1B4F"/>
    <w:rsid w:val="00DF2039"/>
    <w:rsid w:val="00E47049"/>
    <w:rsid w:val="00E6227B"/>
    <w:rsid w:val="00ED2A1F"/>
    <w:rsid w:val="00ED4EC1"/>
    <w:rsid w:val="00EF2282"/>
    <w:rsid w:val="00F22802"/>
    <w:rsid w:val="00F35448"/>
    <w:rsid w:val="00F46B25"/>
    <w:rsid w:val="00F65BA3"/>
    <w:rsid w:val="00F706E6"/>
    <w:rsid w:val="00F71AD1"/>
    <w:rsid w:val="00F87B00"/>
    <w:rsid w:val="00F94EA9"/>
    <w:rsid w:val="00F95A92"/>
    <w:rsid w:val="00FC18CC"/>
    <w:rsid w:val="00FD0A3C"/>
    <w:rsid w:val="00FD17BD"/>
    <w:rsid w:val="00FE2DE1"/>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0835"/>
  <w15:chartTrackingRefBased/>
  <w15:docId w15:val="{44EAD07D-957C-4ACF-BC44-55136FBB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74"/>
    <w:pPr>
      <w:spacing w:after="12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2A0448"/>
    <w:pPr>
      <w:numPr>
        <w:numId w:val="13"/>
      </w:numP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63EE"/>
    <w:pPr>
      <w:keepNext/>
      <w:keepLines/>
      <w:numPr>
        <w:ilvl w:val="1"/>
        <w:numId w:val="13"/>
      </w:numPr>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4129F3"/>
    <w:pPr>
      <w:keepNext/>
      <w:keepLines/>
      <w:numPr>
        <w:ilvl w:val="2"/>
        <w:numId w:val="13"/>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163EE"/>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63EE"/>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63EE"/>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63EE"/>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63EE"/>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63EE"/>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 2"/>
    <w:basedOn w:val="Normal"/>
    <w:qFormat/>
    <w:rsid w:val="00252494"/>
    <w:pPr>
      <w:numPr>
        <w:numId w:val="1"/>
      </w:numPr>
      <w:spacing w:after="0"/>
    </w:pPr>
    <w:rPr>
      <w:rFonts w:eastAsia="Courier New" w:cs="Courier New"/>
      <w:i/>
      <w:color w:val="000000"/>
    </w:rPr>
  </w:style>
  <w:style w:type="paragraph" w:customStyle="1" w:styleId="IndentParagraph1">
    <w:name w:val="Indent Paragraph 1"/>
    <w:basedOn w:val="Normal"/>
    <w:rsid w:val="00957902"/>
    <w:pPr>
      <w:ind w:left="720"/>
    </w:pPr>
  </w:style>
  <w:style w:type="paragraph" w:styleId="ListBullet">
    <w:name w:val="List Bullet"/>
    <w:basedOn w:val="Normal"/>
    <w:uiPriority w:val="99"/>
    <w:semiHidden/>
    <w:unhideWhenUsed/>
    <w:qFormat/>
    <w:rsid w:val="00957902"/>
    <w:pPr>
      <w:numPr>
        <w:numId w:val="3"/>
      </w:numPr>
      <w:contextualSpacing/>
    </w:pPr>
  </w:style>
  <w:style w:type="paragraph" w:styleId="Title">
    <w:name w:val="Title"/>
    <w:basedOn w:val="Normal"/>
    <w:next w:val="Normal"/>
    <w:link w:val="TitleChar"/>
    <w:uiPriority w:val="10"/>
    <w:qFormat/>
    <w:rsid w:val="008B16FD"/>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B16FD"/>
    <w:rPr>
      <w:rFonts w:ascii="Times New Roman" w:eastAsiaTheme="majorEastAsia" w:hAnsi="Times New Roman" w:cstheme="majorBidi"/>
      <w:b/>
      <w:color w:val="000000" w:themeColor="text1"/>
      <w:spacing w:val="-10"/>
      <w:kern w:val="28"/>
      <w:sz w:val="32"/>
      <w:szCs w:val="56"/>
    </w:rPr>
  </w:style>
  <w:style w:type="paragraph" w:styleId="NoSpacing">
    <w:name w:val="No Spacing"/>
    <w:basedOn w:val="Normal"/>
    <w:link w:val="NoSpacingChar"/>
    <w:uiPriority w:val="1"/>
    <w:qFormat/>
    <w:rsid w:val="008B16FD"/>
    <w:pPr>
      <w:spacing w:after="0"/>
    </w:pPr>
  </w:style>
  <w:style w:type="character" w:customStyle="1" w:styleId="Heading1Char">
    <w:name w:val="Heading 1 Char"/>
    <w:basedOn w:val="DefaultParagraphFont"/>
    <w:link w:val="Heading1"/>
    <w:uiPriority w:val="9"/>
    <w:rsid w:val="002A0448"/>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C163EE"/>
    <w:rPr>
      <w:rFonts w:ascii="Times New Roman" w:eastAsiaTheme="majorEastAsia" w:hAnsi="Times New Roman" w:cstheme="majorBidi"/>
      <w:color w:val="000000" w:themeColor="text1"/>
      <w:sz w:val="28"/>
      <w:szCs w:val="26"/>
    </w:rPr>
  </w:style>
  <w:style w:type="character" w:styleId="BookTitle">
    <w:name w:val="Book Title"/>
    <w:basedOn w:val="DefaultParagraphFont"/>
    <w:uiPriority w:val="33"/>
    <w:rsid w:val="008B16FD"/>
    <w:rPr>
      <w:b/>
      <w:bCs/>
      <w:i/>
      <w:iCs/>
      <w:spacing w:val="5"/>
    </w:rPr>
  </w:style>
  <w:style w:type="paragraph" w:styleId="Quote">
    <w:name w:val="Quote"/>
    <w:basedOn w:val="Normal"/>
    <w:next w:val="Normal"/>
    <w:link w:val="QuoteChar"/>
    <w:uiPriority w:val="29"/>
    <w:qFormat/>
    <w:rsid w:val="008B16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16FD"/>
    <w:rPr>
      <w:rFonts w:ascii="Times New Roman" w:hAnsi="Times New Roman"/>
      <w:i/>
      <w:iCs/>
      <w:color w:val="404040" w:themeColor="text1" w:themeTint="BF"/>
      <w:sz w:val="24"/>
    </w:rPr>
  </w:style>
  <w:style w:type="paragraph" w:styleId="ListParagraph">
    <w:name w:val="List Paragraph"/>
    <w:basedOn w:val="Normal"/>
    <w:uiPriority w:val="34"/>
    <w:rsid w:val="00CB2600"/>
    <w:pPr>
      <w:numPr>
        <w:numId w:val="21"/>
      </w:numPr>
      <w:contextualSpacing/>
    </w:pPr>
  </w:style>
  <w:style w:type="character" w:customStyle="1" w:styleId="Heading3Char">
    <w:name w:val="Heading 3 Char"/>
    <w:basedOn w:val="DefaultParagraphFont"/>
    <w:link w:val="Heading3"/>
    <w:uiPriority w:val="9"/>
    <w:rsid w:val="004129F3"/>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semiHidden/>
    <w:rsid w:val="00C163E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163E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163E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163E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163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63E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8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29F3"/>
    <w:pPr>
      <w:spacing w:after="200"/>
    </w:pPr>
    <w:rPr>
      <w:i/>
      <w:iCs/>
      <w:szCs w:val="18"/>
    </w:rPr>
  </w:style>
  <w:style w:type="paragraph" w:styleId="Header">
    <w:name w:val="header"/>
    <w:basedOn w:val="Normal"/>
    <w:link w:val="HeaderChar"/>
    <w:uiPriority w:val="99"/>
    <w:unhideWhenUsed/>
    <w:rsid w:val="00366ECF"/>
    <w:pPr>
      <w:tabs>
        <w:tab w:val="center" w:pos="4680"/>
        <w:tab w:val="right" w:pos="9360"/>
      </w:tabs>
      <w:spacing w:after="0"/>
    </w:pPr>
  </w:style>
  <w:style w:type="character" w:customStyle="1" w:styleId="HeaderChar">
    <w:name w:val="Header Char"/>
    <w:basedOn w:val="DefaultParagraphFont"/>
    <w:link w:val="Header"/>
    <w:uiPriority w:val="99"/>
    <w:rsid w:val="00366ECF"/>
    <w:rPr>
      <w:rFonts w:ascii="Times New Roman" w:hAnsi="Times New Roman"/>
      <w:color w:val="000000" w:themeColor="text1"/>
      <w:sz w:val="24"/>
    </w:rPr>
  </w:style>
  <w:style w:type="paragraph" w:styleId="Footer">
    <w:name w:val="footer"/>
    <w:basedOn w:val="Normal"/>
    <w:link w:val="FooterChar"/>
    <w:uiPriority w:val="99"/>
    <w:unhideWhenUsed/>
    <w:rsid w:val="00366ECF"/>
    <w:pPr>
      <w:tabs>
        <w:tab w:val="center" w:pos="4680"/>
        <w:tab w:val="right" w:pos="9360"/>
      </w:tabs>
      <w:spacing w:after="0"/>
    </w:pPr>
  </w:style>
  <w:style w:type="character" w:customStyle="1" w:styleId="FooterChar">
    <w:name w:val="Footer Char"/>
    <w:basedOn w:val="DefaultParagraphFont"/>
    <w:link w:val="Footer"/>
    <w:uiPriority w:val="99"/>
    <w:rsid w:val="00366ECF"/>
    <w:rPr>
      <w:rFonts w:ascii="Times New Roman" w:hAnsi="Times New Roman"/>
      <w:color w:val="000000" w:themeColor="text1"/>
      <w:sz w:val="24"/>
    </w:rPr>
  </w:style>
  <w:style w:type="paragraph" w:customStyle="1" w:styleId="AppendixTitle">
    <w:name w:val="Appendix Title"/>
    <w:basedOn w:val="Heading1"/>
    <w:next w:val="Normal"/>
    <w:qFormat/>
    <w:rsid w:val="007E387B"/>
    <w:pPr>
      <w:numPr>
        <w:numId w:val="18"/>
      </w:numPr>
      <w:jc w:val="center"/>
    </w:pPr>
    <w:rPr>
      <w:caps/>
    </w:rPr>
  </w:style>
  <w:style w:type="paragraph" w:customStyle="1" w:styleId="AppendixHeading1">
    <w:name w:val="Appendix Heading 1"/>
    <w:basedOn w:val="Heading2"/>
    <w:next w:val="Normal"/>
    <w:qFormat/>
    <w:rsid w:val="002F679A"/>
    <w:pPr>
      <w:numPr>
        <w:ilvl w:val="0"/>
        <w:numId w:val="19"/>
      </w:numPr>
    </w:pPr>
    <w:rPr>
      <w:caps/>
    </w:rPr>
  </w:style>
  <w:style w:type="paragraph" w:customStyle="1" w:styleId="Note">
    <w:name w:val="Note"/>
    <w:basedOn w:val="NoSpacing"/>
    <w:link w:val="NoteChar"/>
    <w:qFormat/>
    <w:rsid w:val="000B29AF"/>
    <w:rPr>
      <w:i/>
      <w:sz w:val="18"/>
    </w:rPr>
  </w:style>
  <w:style w:type="character" w:customStyle="1" w:styleId="NoSpacingChar">
    <w:name w:val="No Spacing Char"/>
    <w:basedOn w:val="DefaultParagraphFont"/>
    <w:link w:val="NoSpacing"/>
    <w:uiPriority w:val="1"/>
    <w:rsid w:val="000B29AF"/>
    <w:rPr>
      <w:rFonts w:ascii="Times New Roman" w:hAnsi="Times New Roman"/>
      <w:color w:val="000000" w:themeColor="text1"/>
      <w:sz w:val="24"/>
    </w:rPr>
  </w:style>
  <w:style w:type="character" w:customStyle="1" w:styleId="NoteChar">
    <w:name w:val="Note Char"/>
    <w:basedOn w:val="NoSpacingChar"/>
    <w:link w:val="Note"/>
    <w:rsid w:val="000B29AF"/>
    <w:rPr>
      <w:rFonts w:ascii="Times New Roman" w:hAnsi="Times New Roman"/>
      <w:i/>
      <w:color w:val="000000" w:themeColor="text1"/>
      <w:sz w:val="18"/>
    </w:rPr>
  </w:style>
  <w:style w:type="paragraph" w:styleId="FootnoteText">
    <w:name w:val="footnote text"/>
    <w:basedOn w:val="Normal"/>
    <w:link w:val="FootnoteTextChar"/>
    <w:uiPriority w:val="99"/>
    <w:semiHidden/>
    <w:unhideWhenUsed/>
    <w:rsid w:val="00DF2039"/>
    <w:pPr>
      <w:spacing w:after="0"/>
    </w:pPr>
    <w:rPr>
      <w:sz w:val="20"/>
      <w:szCs w:val="20"/>
    </w:rPr>
  </w:style>
  <w:style w:type="character" w:customStyle="1" w:styleId="FootnoteTextChar">
    <w:name w:val="Footnote Text Char"/>
    <w:basedOn w:val="DefaultParagraphFont"/>
    <w:link w:val="FootnoteText"/>
    <w:uiPriority w:val="99"/>
    <w:semiHidden/>
    <w:rsid w:val="00DF2039"/>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DF2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ho\Documents\Custom%20Office%20Templates\Gr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DBCA-7ED7-455A-934E-09CC4330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Grange Template.dotx</Template>
  <TotalTime>10</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Coe</dc:creator>
  <cp:keywords/>
  <dc:description/>
  <cp:lastModifiedBy>James Coe</cp:lastModifiedBy>
  <cp:revision>4</cp:revision>
  <cp:lastPrinted>2024-01-07T18:52:00Z</cp:lastPrinted>
  <dcterms:created xsi:type="dcterms:W3CDTF">2024-01-10T16:13:00Z</dcterms:created>
  <dcterms:modified xsi:type="dcterms:W3CDTF">2024-01-10T16:22:00Z</dcterms:modified>
</cp:coreProperties>
</file>